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amenée d'air comburant destinés à la réutilisation des conduits de fumées existants</w:t>
      </w:r>
    </w:p>
    <w:p>
      <w:pPr/>
      <w:r>
        <w:rPr>
          <w:rStyle w:val="font_h1"/>
        </w:rPr>
        <w:t xml:space="preserve">1. Principe</w:t>
      </w:r>
    </w:p>
    <w:p>
      <w:pPr/>
      <w:r>
        <w:rPr>
          <w:rStyle w:val="font_h1"/>
        </w:rPr>
        <w:t xml:space="preserve">2. Domaine d'emploi</w:t>
      </w:r>
    </w:p>
    <w:p>
      <w:pPr/>
      <w:r>
        <w:rPr/>
        <w:t xml:space="preserve">Validé par le Groupe Spécialisé le 24/10/2019</w:t>
      </w:r>
    </w:p>
    <w:p>
      <w:pPr/>
      <w:r>
        <w:rPr>
          <w:b/>
          <w:bCs/>
        </w:rPr>
        <w:t xml:space="preserve">Description</w:t>
      </w:r>
    </w:p>
    <w:p>
      <w:pPr/>
      <w:r>
        <w:rPr/>
        <w:t xml:space="preserve">Décrire les caractéristiques des appareils à gaz et des chaudières fioul compatibles avec le système : type selon le FD CEN/TR 1749:2015 et l'EN 13035, température des produits de combustion, pression positive à la buse, puissance maximale inférieure ou égale à 70 kW, conformité au règlement Eco-conception UE 813/2013 ou au règlement Eco-conception UE 814/2013, conformité à la norme EN 613 pour les poêles et inserts gaz.</w:t>
      </w:r>
    </w:p>
    <w:p>
      <w:pPr/>
      <w:r>
        <w:rPr/>
        <w:t xml:space="preserve">Les types d'appareils à gaz et chaudières fioul prévus au domaine d'emploi seront indiqués parmi les types suivants :</w:t>
      </w:r>
    </w:p>
    <w:p>
      <w:pPr>
        <w:pPr/>
        <w:numPr>
          <w:ilvl w:val="0"/>
          <w:numId w:val="9"/>
        </w:numPr>
      </w:pPr>
      <w:r>
        <w:rPr/>
        <w:t xml:space="preserve">appareils à gaz : types C5, C6 (C3, C5, C9), C9</w:t>
      </w:r>
    </w:p>
    <w:p>
      <w:pPr>
        <w:pPr/>
        <w:numPr>
          <w:ilvl w:val="0"/>
          <w:numId w:val="9"/>
        </w:numPr>
      </w:pPr>
      <w:r>
        <w:rPr/>
        <w:t xml:space="preserve">poêles et inserts gaz : type C91</w:t>
      </w:r>
    </w:p>
    <w:p>
      <w:pPr>
        <w:pPr/>
        <w:numPr>
          <w:ilvl w:val="0"/>
          <w:numId w:val="9"/>
        </w:numPr>
      </w:pPr>
      <w:r>
        <w:rPr/>
        <w:t xml:space="preserve">chaudières fioul : type C33R ( les chaudières fioul de type C33R correspondent à des chaudières de type C33 selon la norme NF EN 15035 en configuration de réutilisation de conduit existant), C53</w:t>
      </w:r>
    </w:p>
    <w:p>
      <w:pPr/>
      <w:r>
        <w:rPr/>
        <w:t xml:space="preserve">Lorsque le domaine d’emploi vise la possibilité de raccordement à des appareils à gaz avec une amenée d’air comburant collective, même si le FD CEN/TR 1749:2015 fait déjà référence au type C(15), compte tenu des appareils à gaz disponibles sur le marché et des normes existantes, il sera fait uniquement référence au type C9.  Dans ce cas, le fabricant de l'appareil doit, en complément, prévoir dans sa notice la possibilité d'avoir une amenéed'air collective et les conditions de raccordement au système. </w:t>
      </w:r>
    </w:p>
    <w:p>
      <w:pPr/>
      <w:r>
        <w:rPr/>
        <w:t xml:space="preserve">Préciser que :</w:t>
      </w:r>
    </w:p>
    <w:p>
      <w:pPr>
        <w:pPr/>
        <w:numPr>
          <w:ilvl w:val="0"/>
          <w:numId w:val="10"/>
        </w:numPr>
      </w:pPr>
      <w:r>
        <w:rPr/>
        <w:t xml:space="preserve">les appareils à gaz doivent être titulaires d'un marquage CE avec la France comme pays de destination,</w:t>
      </w:r>
    </w:p>
    <w:p>
      <w:pPr>
        <w:pPr/>
        <w:numPr>
          <w:ilvl w:val="0"/>
          <w:numId w:val="10"/>
        </w:numPr>
      </w:pPr>
      <w:r>
        <w:rPr/>
        <w:t xml:space="preserve">pour les appareils autres que C6 (C3, C5, C9), la notice doit spécifier la possibilité de raccordement avec le système et doit préciser pour les différentes configurations : les diamètres, les longueurs, les types et nombres de coudes (ou longueur équivalente) du conduit d’amenée d’air comburant et du conduit d'évacuation des produits de combustion.</w:t>
      </w:r>
    </w:p>
    <w:p>
      <w:pPr>
        <w:pPr/>
        <w:numPr>
          <w:ilvl w:val="0"/>
          <w:numId w:val="10"/>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w:t>
      </w:r>
    </w:p>
    <w:p>
      <w:pPr>
        <w:pPr/>
        <w:numPr>
          <w:ilvl w:val="0"/>
          <w:numId w:val="11"/>
        </w:numPr>
      </w:pPr>
      <w:r>
        <w:rPr/>
        <w:t xml:space="preserve">dans l’habitat individuel et l’habitat collectif pour la desserte d'appareils à gaz,</w:t>
      </w:r>
    </w:p>
    <w:p>
      <w:pPr>
        <w:pPr/>
        <w:numPr>
          <w:ilvl w:val="0"/>
          <w:numId w:val="11"/>
        </w:numPr>
      </w:pPr>
      <w:r>
        <w:rPr/>
        <w:t xml:space="preserve">dans l’habitat individuel pour la desserte de chaudières fioul,</w:t>
      </w:r>
    </w:p>
    <w:p>
      <w:pPr>
        <w:pPr/>
        <w:numPr>
          <w:ilvl w:val="0"/>
          <w:numId w:val="11"/>
        </w:numPr>
      </w:pPr>
      <w:r>
        <w:rPr/>
        <w:t xml:space="preserve">dans les ERP pour la desserte d'appareils à gaz et de chaudières fioul,</w:t>
      </w:r>
    </w:p>
    <w:p>
      <w:pPr>
        <w:pPr/>
        <w:numPr>
          <w:ilvl w:val="0"/>
          <w:numId w:val="11"/>
        </w:numPr>
      </w:pPr>
      <w:r>
        <w:rPr/>
        <w:t xml:space="preserve">dans les bâtiments relevant du Code de Travail pour la desserte d’appareils à gaz et de chaudières fioul.</w:t>
      </w:r>
    </w:p>
    <w:p>
      <w:pPr/>
      <w:r>
        <w:rPr>
          <w:b/>
          <w:bCs/>
        </w:rPr>
        <w:t xml:space="preserve">Justification</w:t>
      </w:r>
    </w:p>
    <w:p>
      <w:pPr/>
      <w:r>
        <w:rPr/>
        <w:t xml:space="preserve">Compte tenu du marquage CE des poêles et inserts gaz (type C91 uniquement), qui valide l’adéquation entre appareil, terminal et conduit, il n’est pas nécessaire de réaliser des essais de couplage complémentaires ; les éventuels essais réalisés pourront être mentionnés au § B., de façon informative, en tant qu’essai de fonctionnement.</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ind w:left="720" w:right="0"/>
      </w:pPr>
      <w:r>
        <w:rPr>
          <w:rStyle w:val="font_h2"/>
        </w:rPr>
        <w:t xml:space="preserve">4.2. Identification des éléments</w:t>
      </w:r>
    </w:p>
    <w:p>
      <w:pPr>
        <w:ind w:left="720" w:right="0"/>
      </w:pPr>
      <w:r>
        <w:rPr>
          <w:rStyle w:val="font_h2"/>
        </w:rPr>
        <w:t xml:space="preserve">4.3. Identification des ouvrages</w:t>
      </w:r>
    </w:p>
    <w:p>
      <w:pPr/>
      <w:r>
        <w:rPr>
          <w:rStyle w:val="font_h1"/>
        </w:rPr>
        <w:t xml:space="preserve">5. Fabrication et contrôles</w:t>
      </w:r>
    </w:p>
    <w:p>
      <w:pPr>
        <w:ind w:left="720" w:right="0"/>
      </w:pPr>
      <w:r>
        <w:rPr>
          <w:rStyle w:val="font_h2"/>
        </w:rPr>
        <w:t xml:space="preserve">5.1. Matières premières</w:t>
      </w:r>
    </w:p>
    <w:p>
      <w:pPr>
        <w:ind w:left="720" w:right="0"/>
      </w:pPr>
      <w:r>
        <w:rPr>
          <w:rStyle w:val="font_h2"/>
        </w:rPr>
        <w:t xml:space="preserve">5.2. Fabrication</w:t>
      </w:r>
    </w:p>
    <w:p>
      <w:pPr>
        <w:ind w:left="720" w:right="0"/>
      </w:pPr>
      <w:r>
        <w:rPr>
          <w:rStyle w:val="font_h2"/>
        </w:rPr>
        <w:t xml:space="preserve">5.3. Produits finis</w:t>
      </w:r>
    </w:p>
    <w:p>
      <w:pPr>
        <w:ind w:left="720" w:right="0"/>
      </w:pPr>
      <w:r>
        <w:rPr>
          <w:rStyle w:val="font_h2"/>
        </w:rPr>
        <w:t xml:space="preserve">5.4. Déclarations de Performances (DoP)</w:t>
      </w:r>
    </w:p>
    <w:p>
      <w:pPr/>
      <w:r>
        <w:rPr>
          <w:rStyle w:val="font_h1"/>
        </w:rPr>
        <w:t xml:space="preserve">6. Dimensionnement et conception</w:t>
      </w:r>
    </w:p>
    <w:p>
      <w:pPr>
        <w:ind w:left="720" w:right="0"/>
      </w:pPr>
      <w:r>
        <w:rPr>
          <w:rStyle w:val="font_h2"/>
        </w:rPr>
        <w:t xml:space="preserve">6.1. Généralités</w:t>
      </w:r>
    </w:p>
    <w:p>
      <w:pPr>
        <w:ind w:left="720" w:right="0"/>
      </w:pPr>
      <w:r>
        <w:rPr>
          <w:rStyle w:val="font_h2"/>
        </w:rPr>
        <w:t xml:space="preserve">6.2. Règles de conception générales dans les bâtiments d'habitation</w:t>
      </w:r>
    </w:p>
    <w:p>
      <w:pPr>
        <w:ind w:left="720" w:right="0"/>
      </w:pPr>
      <w:r>
        <w:rPr>
          <w:rStyle w:val="font_h2"/>
        </w:rPr>
        <w:t xml:space="preserve">6.3. Règles de conception particulières dans les bâtiments d'habitation</w:t>
      </w:r>
    </w:p>
    <w:p>
      <w:pPr>
        <w:ind w:left="720" w:right="0"/>
      </w:pPr>
      <w:r>
        <w:rPr>
          <w:rStyle w:val="font_h2"/>
        </w:rPr>
        <w:t xml:space="preserve">6.4. Règles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rStyle w:val="font_h1"/>
        </w:rPr>
        <w:t xml:space="preserve">7. Mise en oeuvre</w:t>
      </w:r>
    </w:p>
    <w:p>
      <w:pPr>
        <w:ind w:left="720" w:right="0"/>
      </w:pPr>
      <w:r>
        <w:rPr>
          <w:rStyle w:val="font_h2"/>
        </w:rPr>
        <w:t xml:space="preserve">7.1. Généralités</w:t>
      </w:r>
    </w:p>
    <w:p>
      <w:pPr>
        <w:ind w:left="720" w:right="0"/>
      </w:pPr>
      <w:r>
        <w:rPr>
          <w:rStyle w:val="font_h2"/>
        </w:rPr>
        <w:t xml:space="preserve">7.2. Mise en oeuvre de la version du système raccordé à des poêles ou inserts à gaz utilisée en réutilisation de conduit de fumée existant</w:t>
      </w:r>
    </w:p>
    <w:p>
      <w:pPr>
        <w:ind w:left="720" w:right="0"/>
      </w:pPr>
      <w:r>
        <w:rPr>
          <w:rStyle w:val="font_h2"/>
        </w:rPr>
        <w:t xml:space="preserve">7.3. Mise en oeuvre de la version du système utilisée en réutilisation de conduit de fumée existant</w:t>
      </w:r>
    </w:p>
    <w:p>
      <w:pPr/>
      <w:r>
        <w:rPr>
          <w:rStyle w:val="font_h1"/>
        </w:rPr>
        <w:t xml:space="preserve">8. Mise en service</w:t>
      </w:r>
    </w:p>
    <w:p>
      <w:pPr/>
      <w:r>
        <w:rPr>
          <w:rStyle w:val="font_h1"/>
        </w:rPr>
        <w:t xml:space="preserve">9. Entretien</w:t>
      </w:r>
    </w:p>
    <w:p>
      <w:pPr/>
      <w:r>
        <w:rPr>
          <w:rStyle w:val="font_h1"/>
        </w:rPr>
        <w:t xml:space="preserve">10.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B5E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016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A8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2026-02-19T12:52:46+01:00</dcterms:created>
  <dcterms:modified xsi:type="dcterms:W3CDTF">2026-02-19T12:52:46+01:00</dcterms:modified>
</cp:coreProperties>
</file>

<file path=docProps/custom.xml><?xml version="1.0" encoding="utf-8"?>
<Properties xmlns="http://schemas.openxmlformats.org/officeDocument/2006/custom-properties" xmlns:vt="http://schemas.openxmlformats.org/officeDocument/2006/docPropsVTypes"/>
</file>