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14.2 - Édité le 20/06/2026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14.2 « Equipements / Installations de combustion »</w:t>
      </w:r>
    </w:p>
    <w:p>
      <w:pPr/>
      <w:r>
        <w:rPr>
          <w:rStyle w:val="font_default"/>
        </w:rPr>
        <w:t xml:space="preserve">Famille de produits ou procédés : </w:t>
      </w:r>
      <w:r>
        <w:rPr>
          <w:rStyle w:val="font_h3"/>
        </w:rPr>
        <w:t xml:space="preserve">Poêle ou insert à granulés de bois</w:t>
      </w:r>
    </w:p>
    <w:p>
      <w:pPr/>
      <w:r>
        <w:rPr>
          <w:rStyle w:val="font_h1"/>
        </w:rPr>
        <w:t xml:space="preserve">1. Principe</w:t>
      </w:r>
    </w:p>
    <w:p>
      <w:pPr/>
      <w:r>
        <w:rPr/>
        <w:t xml:space="preserve">Validé par le Groupe Spécialisé le 26/04/2024</w:t>
      </w:r>
    </w:p>
    <w:p>
      <w:pPr/>
      <w:r>
        <w:rPr>
          <w:b/>
          <w:bCs/>
        </w:rPr>
        <w:t xml:space="preserve">Description</w:t>
      </w:r>
    </w:p>
    <w:p>
      <w:pPr/>
      <w:r>
        <w:rPr/>
        <w:t xml:space="preserve">Décrire succinctement les différentes versions de poêles étanches à granulés de bois.</w:t>
      </w:r>
    </w:p>
    <w:p>
      <w:pPr/>
      <w:r>
        <w:rPr/>
        <w:t xml:space="preserve">Préciser les configurations d'installations du système d'amenée d'air comburant et d’évacuation de produits de combustion par référence aux dispositions prévues dans le Cahier des Prescriptions Techniques communes n° 3708_V3.</w:t>
      </w:r>
    </w:p>
    <w:p>
      <w:pPr/>
      <w:r>
        <w:rPr>
          <w:rStyle w:val="font_h1"/>
        </w:rPr>
        <w:t xml:space="preserve">2. Domaine d'emploi</w:t>
      </w:r>
    </w:p>
    <w:p>
      <w:pPr/>
      <w:r>
        <w:rPr/>
        <w:t xml:space="preserve">Validé par le Groupe Spécialisé le 26/03/2024</w:t>
      </w:r>
    </w:p>
    <w:p>
      <w:pPr/>
      <w:r>
        <w:rPr>
          <w:b/>
          <w:bCs/>
        </w:rPr>
        <w:t xml:space="preserve">Description</w:t>
      </w:r>
    </w:p>
    <w:p>
      <w:pPr/>
      <w:r>
        <w:rPr/>
        <w:t xml:space="preserve">Préciser les types de bâtiments d'habitation dans lesquels les poêles peuvent être installés, par référence aux dispositions prévues dans le Cahier des Prescriptions Techniques communes n° 3708_V3.</w:t>
      </w:r>
    </w:p>
    <w:p>
      <w:pPr/>
      <w:r>
        <w:rPr/>
        <w:t xml:space="preserve">Préciser que le système d'amenée d'air comburant et d’évacuation de produits de combustion doit être conçu pour le raccordement de poêles à granulés de bois à circuit de combustion étanche et être visé par un Document Technique d’Application, ce qui permet de s'assurer de conditions adéquates pour l'alimentation en air comburant et l'évacuation des produits de combustion.</w:t>
      </w:r>
    </w:p>
    <w:p>
      <w:pPr/>
      <w:r>
        <w:rPr>
          <w:b/>
          <w:bCs/>
        </w:rPr>
        <w:t xml:space="preserve">Justification</w:t>
      </w:r>
    </w:p>
    <w:p>
      <w:pPr/>
      <w:r>
        <w:rPr/>
        <w:t xml:space="preserve">Les caractéristiques des poêles à granulés doivent être compatibles avec la désignation de l'ouvrage prévue dans le DTA du système d'amenée d'air comburant et d'évacuation des produits de combustion.</w:t>
      </w:r>
    </w:p>
    <w:p>
      <w:pPr/>
      <w:r>
        <w:rPr/>
        <w:t xml:space="preserve">La réglementation applicable aux différents types de bâtiments doit être compatible avec l'installation du système.</w:t>
      </w:r>
    </w:p>
    <w:p>
      <w:pPr/>
      <w:r>
        <w:rPr>
          <w:rStyle w:val="font_h1"/>
        </w:rPr>
        <w:t xml:space="preserve">3. Poêles étanches à granulés</w:t>
      </w:r>
    </w:p>
    <w:p>
      <w:pPr>
        <w:ind w:left="720" w:right="0"/>
      </w:pPr>
      <w:r>
        <w:rPr>
          <w:rStyle w:val="font_h2"/>
        </w:rPr>
        <w:t xml:space="preserve">3.1. Généralités</w:t>
      </w:r>
    </w:p>
    <w:p>
      <w:pPr/>
      <w:r>
        <w:rPr/>
        <w:t xml:space="preserve">Validé par le Groupe Spécialisé le 26/03/2024</w:t>
      </w:r>
    </w:p>
    <w:p>
      <w:pPr/>
      <w:r>
        <w:rPr>
          <w:b/>
          <w:bCs/>
        </w:rPr>
        <w:t xml:space="preserve">Description</w:t>
      </w:r>
    </w:p>
    <w:p>
      <w:pPr/>
      <w:r>
        <w:rPr/>
        <w:t xml:space="preserve">Décrire le principe de fonctionnement des poêles à granulés : alimentation en combustible, amenée d'air comburant, diffusion de la chaleur, pilotage de la combustion, organes de sécurité...</w:t>
      </w:r>
    </w:p>
    <w:p>
      <w:pPr/>
      <w:r>
        <w:rPr/>
        <w:t xml:space="preserve">Préciser que les poêles sont conformes à la norme NF EN 14785 ou à la norme NF EN 16510-2-6, ont été testés dans un laboratoire notifié pour obtenir leur marquage CE, et font l'objet de déclarations de performances (DoP) établies par le fabricant.</w:t>
      </w:r>
    </w:p>
    <w:p>
      <w:pPr/>
      <w:r>
        <w:rPr/>
        <w:t xml:space="preserve">Fournir les caractéristiques du marquage CE pour l'ensemble des poêles.</w:t>
      </w:r>
    </w:p>
    <w:p>
      <w:pPr/>
      <w:r>
        <w:rPr/>
        <w:t xml:space="preserve">Synthétiser dans un tableau pour l'ensemble des poêles : le modèle de chambre de combustion, la position de la buse (arrière ou sur le dessus), le type de buse (simple ou concentrique), le n° du rapport d'essai de marquage CE, le n° de la DoP.</w:t>
      </w:r>
    </w:p>
    <w:p>
      <w:pPr/>
      <w:r>
        <w:rPr>
          <w:b/>
          <w:bCs/>
        </w:rPr>
        <w:t xml:space="preserve">Justification</w:t>
      </w:r>
    </w:p>
    <w:p>
      <w:pPr/>
      <w:r>
        <w:rPr/>
        <w:t xml:space="preserve">Rapport d'essais de marquage CE, DoP et notices d'installation des différents modèles.</w:t>
      </w:r>
    </w:p>
    <w:p>
      <w:pPr/>
      <w:r>
        <w:rPr/>
        <w:t xml:space="preserve">Rapport d'essai d'appairage avec un système d'EVAPDC titulaire d'un DTA :</w:t>
      </w:r>
    </w:p>
    <w:p>
      <w:pPr>
        <w:pPr/>
        <w:numPr>
          <w:ilvl w:val="0"/>
          <w:numId w:val="9"/>
        </w:numPr>
      </w:pPr>
      <w:r>
        <w:rPr/>
        <w:t xml:space="preserve">En configuration verticale</w:t>
      </w:r>
    </w:p>
    <w:p>
      <w:pPr>
        <w:pPr/>
        <w:numPr>
          <w:ilvl w:val="0"/>
          <w:numId w:val="9"/>
        </w:numPr>
      </w:pPr>
      <w:r>
        <w:rPr/>
        <w:t xml:space="preserve">En configuration horizontale, si cette configuration est prévue dans le DTA</w:t>
      </w:r>
    </w:p>
    <w:p>
      <w:pPr>
        <w:pPr/>
        <w:numPr>
          <w:ilvl w:val="0"/>
          <w:numId w:val="9"/>
        </w:numPr>
      </w:pPr>
      <w:r>
        <w:rPr/>
        <w:t xml:space="preserve">Si la configuration horizontale n’est pas prévue dans le DTA, avec une longueur minimale de système EVAPDC en configuration verticale (les essais préalablement décrits en configuration verticale étant supposés être effectués avec une longueur maximale)</w:t>
      </w:r>
    </w:p>
    <w:p>
      <w:pPr/>
      <w:r>
        <w:rPr/>
        <w:t xml:space="preserve">Lors des essais d'appairage, vérification de l'effet d'un arrêt brusque (coupure électrique de courte durée) du poêle à granulés en allure minimale.</w:t>
      </w:r>
    </w:p>
    <w:p>
      <w:pPr/>
      <w:r>
        <w:rPr/>
        <w:t xml:space="preserve">Pour les poêles avec buse sur le dessus, description détaillée du système d'amenée d'air comburant et d'évacuation des produits de combustion et des modalités d'entretien.</w:t>
      </w:r>
    </w:p>
    <w:p>
      <w:pPr/>
      <w:r>
        <w:rPr/>
        <w:t xml:space="preserve">Lorsque des modèles de poêles font l’objet de modifications, dès lors qu’un nouvel essai de type est réalisé pour le marquage CE, il convient également de faire un nouvel essai d’appairage.</w:t>
      </w:r>
    </w:p>
    <w:p>
      <w:pPr/>
      <w:r>
        <w:rPr>
          <w:b/>
          <w:bCs/>
        </w:rPr>
        <w:t xml:space="preserve">Illustration</w:t>
      </w:r>
    </w:p>
    <w:p>
      <w:pPr/>
      <w:r>
        <w:rPr/>
        <w:t xml:space="preserve">Visuels des modèles de poêles.</w:t>
      </w:r>
    </w:p>
    <w:p>
      <w:pPr/>
      <w:r>
        <w:rPr/>
        <w:t xml:space="preserve">Pour les poêles avec buse sur le dessus, visuel détaillé du système d'amenée d'air comburant et d'évacuation des produits de combustion interne au poêle.</w:t>
      </w:r>
    </w:p>
    <w:p>
      <w:pPr/>
      <w:r>
        <w:rPr>
          <w:b/>
          <w:bCs/>
        </w:rPr>
        <w:t xml:space="preserve">Critères d'évaluation</w:t>
      </w:r>
    </w:p>
    <w:p>
      <w:pPr/>
      <w:r>
        <w:rPr/>
        <w:t xml:space="preserve">Vérification que la température de soufflage d'air chaud ne s’oppose pas au respect des exigences de l’article 33 de l’arrêté du 23 juin 1978 (inférieure à 100 °C).</w:t>
      </w:r>
    </w:p>
    <w:p>
      <w:pPr/>
      <w:r>
        <w:rPr/>
        <w:t xml:space="preserve">Vérification du bon fonctionnement du poêle pour les différentes configurations réalisées dans les essais d’appairage.</w:t>
      </w:r>
    </w:p>
    <w:p>
      <w:pPr/>
      <w:r>
        <w:rPr/>
        <w:t xml:space="preserve">Vérification de la position de la buse (installée sortie d'usine) :</w:t>
      </w:r>
    </w:p>
    <w:p>
      <w:pPr>
        <w:pPr/>
        <w:numPr>
          <w:ilvl w:val="0"/>
          <w:numId w:val="10"/>
        </w:numPr>
      </w:pPr>
      <w:r>
        <w:rPr/>
        <w:t xml:space="preserve">Les conduits d’amenée d’air comburant et d’évacuation des produits de combustion internes aux poêles sont de la seule responsabilité du fabricant du poêle. Ils doivent être installés sortie d’usine afin de garantir l’étanchéité du circuit de combustion du poêle.</w:t>
      </w:r>
    </w:p>
    <w:p>
      <w:pPr>
        <w:pPr/>
        <w:numPr>
          <w:ilvl w:val="0"/>
          <w:numId w:val="10"/>
        </w:numPr>
      </w:pPr>
      <w:r>
        <w:rPr/>
        <w:t xml:space="preserve">La buse des fumées, installée sortie d’usine, doit être facilement accessible depuis l'extérieur du poêle pour permettre le raccordement du conduit d’évacuation des produits de combustion par l’installateur.</w:t>
      </w:r>
    </w:p>
    <w:p>
      <w:pPr/>
      <w:r>
        <w:rPr/>
        <w:t xml:space="preserve">Des modifications mineures à réaliser par l’installateur peuvent néanmoins être acceptées, après examen au cas par cas, si elles ne risquent pas de dégrader l’étanchéité du poêle.</w:t>
      </w:r>
    </w:p>
    <w:p>
      <w:pPr/>
      <w:r>
        <w:rPr/>
        <w:t xml:space="preserve">Pour les poêles avec buse sur le dessus, vérification de la possibilité de récupération des suies, d'évacuation des condensats éventuels, d'entretien et de ramonage.</w:t>
      </w:r>
    </w:p>
    <w:p>
      <w:pPr/>
      <w:r>
        <w:rPr/>
        <w:t xml:space="preserve">Vérification de la cohérence entre les dispositions mentionnées dans les notices d'installation des poêles et celles mentionnées dans le Dossier Technique.</w:t>
      </w:r>
    </w:p>
    <w:p>
      <w:pPr>
        <w:ind w:left="720" w:right="0"/>
      </w:pPr>
      <w:r>
        <w:rPr>
          <w:rStyle w:val="font_h2"/>
        </w:rPr>
        <w:t xml:space="preserve">3.2. Etanchéité des poêles</w:t>
      </w:r>
    </w:p>
    <w:p>
      <w:pPr/>
      <w:r>
        <w:rPr/>
        <w:t xml:space="preserve">Validé par le Groupe Spécialisé le 02/03/2021</w:t>
      </w:r>
    </w:p>
    <w:p>
      <w:pPr/>
      <w:r>
        <w:rPr>
          <w:b/>
          <w:bCs/>
        </w:rPr>
        <w:t xml:space="preserve">Description</w:t>
      </w:r>
    </w:p>
    <w:p>
      <w:pPr/>
      <w:r>
        <w:rPr/>
        <w:t xml:space="preserve">Préciser le débit de fuite des poêles sous 50 Pa.</w:t>
      </w:r>
    </w:p>
    <w:p>
      <w:pPr/>
      <w:r>
        <w:rPr>
          <w:b/>
          <w:bCs/>
        </w:rPr>
        <w:t xml:space="preserve">Justification</w:t>
      </w:r>
    </w:p>
    <w:p>
      <w:pPr/>
      <w:r>
        <w:rPr/>
        <w:t xml:space="preserve">Rapport d'essai d'un laboratoire notifié pour la marquage CE des poêles à granulés ou d'un laboratoire accrédité COFRAC pour des essais d’étanchéités à l'air (sur les poêles ou les conduits d'évacuation des produits de combustion).</w:t>
      </w:r>
    </w:p>
    <w:p>
      <w:pPr/>
      <w:r>
        <w:rPr/>
        <w:t xml:space="preserve">Un essai d'étanchéité est à réaliser sur chaque chambre de combustion. Lorsqu’une chambre de combustion comporte plusieurs modèles avec différentes positions pour la buse d’évacuation des fumées, l’essai d’étanchéité doit être réalisé sur la configuration la plus défavorable (en général avec la sortie des fumées par le dessus)</w:t>
      </w:r>
    </w:p>
    <w:p>
      <w:pPr/>
      <w:r>
        <w:rPr/>
        <w:t xml:space="preserve">Lorsque des modèles de poêles font l’objet de modifications, dès lors qu’un nouvel essai de type est réalisé pour le marquage CE, il convient également de faire un nouvel essai d’étanchéité.</w:t>
      </w:r>
    </w:p>
    <w:p>
      <w:pPr/>
      <w:r>
        <w:rPr>
          <w:b/>
          <w:bCs/>
        </w:rPr>
        <w:t xml:space="preserve">Critères d'évaluation</w:t>
      </w:r>
    </w:p>
    <w:p>
      <w:pPr/>
      <w:r>
        <w:rPr/>
        <w:t xml:space="preserve">Le débit de fuite des poêles, mesuré sous 50 Pa, doit être inférieur à  3 m3/h.</w:t>
      </w:r>
    </w:p>
    <w:p>
      <w:pPr/>
      <w:r>
        <w:rPr/>
        <w:t xml:space="preserve">L'exigence d'étanchéité  des classes CM50 et CC50 définies dans le Pr EN 16510-2-6 :2016 est retenue dans l'attente de la publication de la NF EN 16510-2-6.</w:t>
      </w:r>
    </w:p>
    <w:p>
      <w:pPr>
        <w:ind w:left="720" w:right="0"/>
      </w:pPr>
      <w:r>
        <w:rPr>
          <w:rStyle w:val="font_h2"/>
        </w:rPr>
        <w:t xml:space="preserve">3.3. Kits de raccordement</w:t>
      </w:r>
    </w:p>
    <w:p>
      <w:pPr/>
      <w:r>
        <w:rPr/>
        <w:t xml:space="preserve">Validé par le Groupe Spécialisé le 02/02/2023</w:t>
      </w:r>
    </w:p>
    <w:p>
      <w:pPr/>
      <w:r>
        <w:rPr>
          <w:b/>
          <w:bCs/>
        </w:rPr>
        <w:t xml:space="preserve">Description</w:t>
      </w:r>
    </w:p>
    <w:p>
      <w:pPr/>
      <w:r>
        <w:rPr/>
        <w:t xml:space="preserve">En présence de kit de raccordement externe fourni par le fabricant de l’appareil, les dispositions suivantes doivent être respectées :</w:t>
      </w:r>
    </w:p>
    <w:p>
      <w:pPr>
        <w:pPr/>
        <w:numPr>
          <w:ilvl w:val="0"/>
          <w:numId w:val="11"/>
        </w:numPr>
      </w:pPr>
      <w:r>
        <w:rPr/>
        <w:t xml:space="preserve">Une identification du fabricant doit être prévue sur le kit pour qu’après installation ce composant soit bien identifié comme un accessoire de l’appareil et non comme un élément du conduit de raccordement</w:t>
      </w:r>
    </w:p>
    <w:p>
      <w:pPr>
        <w:pPr/>
        <w:numPr>
          <w:ilvl w:val="0"/>
          <w:numId w:val="11"/>
        </w:numPr>
      </w:pPr>
      <w:r>
        <w:rPr/>
        <w:t xml:space="preserve">Un essai d’étanchéité à 50 Pa doit être réalisé par un laboratoire accrédité pour chaque chambre de combustion et chaque kit.</w:t>
      </w:r>
    </w:p>
    <w:p>
      <w:pPr>
        <w:pPr/>
        <w:numPr>
          <w:ilvl w:val="0"/>
          <w:numId w:val="11"/>
        </w:numPr>
      </w:pPr>
      <w:r>
        <w:rPr/>
        <w:t xml:space="preserve">Un contrôle de production en usine de l’étanchéité des poêles équipés des kits doit être mis en place. Un échantillonnage doit être défini pour permettre de tester chaque chambre de combustion et chaque kit.</w:t>
      </w:r>
    </w:p>
    <w:p>
      <w:pPr>
        <w:pPr/>
        <w:numPr>
          <w:ilvl w:val="0"/>
          <w:numId w:val="11"/>
        </w:numPr>
      </w:pPr>
      <w:r>
        <w:rPr/>
        <w:t xml:space="preserve">Distance de sécurité à l’arrière du poêle équipé du kit :</w:t>
      </w:r>
    </w:p>
    <w:p>
      <w:pPr>
        <w:pPr/>
        <w:numPr>
          <w:ilvl w:val="1"/>
          <w:numId w:val="11"/>
        </w:numPr>
      </w:pPr>
      <w:r>
        <w:rPr/>
        <w:t xml:space="preserve">Dans le cas d’un conduit externe équipé d’un « capotage », les distances de sécurité issues de l’essai de marquage CE de l’appareil équipé de son accessoire sont pertinentes.</w:t>
      </w:r>
    </w:p>
    <w:p>
      <w:pPr>
        <w:pPr/>
        <w:numPr>
          <w:ilvl w:val="1"/>
          <w:numId w:val="11"/>
        </w:numPr>
      </w:pPr>
      <w:r>
        <w:rPr/>
        <w:t xml:space="preserve">Dans le cas d’un conduit externe « non capoté », celui-ci s’apparente à un conduit de raccordement simple paroi en termes de risque incendie. Les dispositions applicables aux conduits de raccordement doivent être prévues (distances mesurées selon l’EN 1856-2 ou distances prévues par l’EN 15287-1 ou le NF DTU 24.1).</w:t>
      </w:r>
    </w:p>
    <w:p>
      <w:pPr/>
      <w:r>
        <w:rPr/>
        <w:t xml:space="preserve">Les notices des appareils doivent détailler les dispositions de mise en oeuvre spécifiques et la distance de sécurité à respecter doit être mentionnée sur la plaque signalétique de l’appareil.</w:t>
      </w:r>
    </w:p>
    <w:p>
      <w:pPr>
        <w:ind w:left="720" w:right="0"/>
      </w:pPr>
      <w:r>
        <w:rPr>
          <w:rStyle w:val="font_h2"/>
        </w:rPr>
        <w:t xml:space="preserve">3.4. Combustible</w:t>
      </w:r>
    </w:p>
    <w:p>
      <w:pPr/>
      <w:r>
        <w:rPr/>
        <w:t xml:space="preserve">Validé par le Groupe Spécialisé le 29/03/2018</w:t>
      </w:r>
    </w:p>
    <w:p>
      <w:pPr/>
      <w:r>
        <w:rPr>
          <w:b/>
          <w:bCs/>
        </w:rPr>
        <w:t xml:space="preserve">Description</w:t>
      </w:r>
    </w:p>
    <w:p>
      <w:pPr/>
      <w:r>
        <w:rPr/>
        <w:t xml:space="preserve">Préciser que :</w:t>
      </w:r>
    </w:p>
    <w:p>
      <w:pPr/>
      <w:r>
        <w:rPr/>
        <w:t xml:space="preserve">Les poêles à granulés sont prévus pour brûler des granulés de bois naturel à base de sciure (encore appelés "pellets") certifiés de classe A1 selon la norme ISO 17225-2 (ENplus-A1, DIN Plus ou NF 444 de catégorie "NF Granulés Biocombustibles Bois Qualité Haute Performance"). Tout combustible biomasse autre que ces granulés de bois est interdit.</w:t>
      </w:r>
    </w:p>
    <w:p>
      <w:pPr/>
      <w:r>
        <w:rPr/>
        <w:t xml:space="preserve">Des ajustements de réglages de combustion sont possibles sur l’appareil pour s’adapter aux variations de caractéristiques des combustibles dans leur plage de tolérance autorisée dans le référentiel de certification.</w:t>
      </w:r>
    </w:p>
    <w:p>
      <w:pPr/>
      <w:r>
        <w:rPr/>
        <w:t xml:space="preserve">Chez l’utilisateur, le combustible granulés doit être entreposé dans un endroit sec à l’abri de l’humidité. Le réservoir de stockage dans le poêle doit être vidé et nettoyé à chaque fin de saison de chauffe. Du combustible neuf doit être introduit dans le poêle pour le redémarrage en début de saison de chauffe.</w:t>
      </w:r>
    </w:p>
    <w:p>
      <w:pPr/>
      <w:r>
        <w:rPr>
          <w:rStyle w:val="font_h1"/>
        </w:rPr>
        <w:t xml:space="preserve">4. Fabrication, contrôles, marquage, DoP et notice</w:t>
      </w:r>
    </w:p>
    <w:p>
      <w:pPr>
        <w:ind w:left="720" w:right="0"/>
      </w:pPr>
      <w:r>
        <w:rPr>
          <w:rStyle w:val="font_h2"/>
        </w:rPr>
        <w:t xml:space="preserve">4.1. Fabrication</w:t>
      </w:r>
    </w:p>
    <w:p>
      <w:pPr/>
      <w:r>
        <w:rPr/>
        <w:t xml:space="preserve">Validé par le Groupe Spécialisé le 29/03/2018</w:t>
      </w:r>
    </w:p>
    <w:p>
      <w:pPr/>
      <w:r>
        <w:rPr>
          <w:b/>
          <w:bCs/>
        </w:rPr>
        <w:t xml:space="preserve">Description</w:t>
      </w:r>
    </w:p>
    <w:p>
      <w:pPr/>
      <w:r>
        <w:rPr/>
        <w:t xml:space="preserve">Préciser le nom du fabricant et indiquer la localisation du site de fabrication.</w:t>
      </w:r>
    </w:p>
    <w:p>
      <w:pPr/>
      <w:r>
        <w:rPr/>
        <w:t xml:space="preserve">Décrire succinctement le processus de fabrication.</w:t>
      </w:r>
    </w:p>
    <w:p>
      <w:pPr>
        <w:ind w:left="720" w:right="0"/>
      </w:pPr>
      <w:r>
        <w:rPr>
          <w:rStyle w:val="font_h2"/>
        </w:rPr>
        <w:t xml:space="preserve">4.2. Contrôles</w:t>
      </w:r>
    </w:p>
    <w:p>
      <w:pPr/>
      <w:r>
        <w:rPr/>
        <w:t xml:space="preserve">Validé par le Groupe Spécialisé le 28/10/2021</w:t>
      </w:r>
    </w:p>
    <w:p>
      <w:pPr/>
      <w:r>
        <w:rPr>
          <w:b/>
          <w:bCs/>
        </w:rPr>
        <w:t xml:space="preserve">Description</w:t>
      </w:r>
    </w:p>
    <w:p>
      <w:pPr/>
      <w:r>
        <w:rPr/>
        <w:t xml:space="preserve">Préciser la nature des matières premières utilisées et les contrôles à réception réalisés. Le cas échéant, indiquer les contrôles à réception pour les produits réalisés en sous-traitance.</w:t>
      </w:r>
    </w:p>
    <w:p>
      <w:pPr/>
      <w:r>
        <w:rPr/>
        <w:t xml:space="preserve">Décrire succinctement les contrôles réalisés sur les produits finis, comprenant à minima un test d'étanchéité unitaire, sur chaque poêle. La pression utilisée pour l'essai d'étanchéité doit être précisée.</w:t>
      </w:r>
    </w:p>
    <w:p>
      <w:pPr/>
      <w:r>
        <w:rPr/>
        <w:t xml:space="preserve">Indiquer la conformité du CPU aux exigences de la norme européenne applicable.</w:t>
      </w:r>
    </w:p>
    <w:p>
      <w:pPr>
        <w:ind w:left="720" w:right="0"/>
      </w:pPr>
      <w:r>
        <w:rPr>
          <w:rStyle w:val="font_h2"/>
        </w:rPr>
        <w:t xml:space="preserve">4.3. Marquage</w:t>
      </w:r>
    </w:p>
    <w:p>
      <w:pPr/>
      <w:r>
        <w:rPr/>
        <w:t xml:space="preserve">Validé par le Groupe Spécialisé le 29/03/2018</w:t>
      </w:r>
    </w:p>
    <w:p>
      <w:pPr/>
      <w:r>
        <w:rPr>
          <w:b/>
          <w:bCs/>
        </w:rPr>
        <w:t xml:space="preserve">Description</w:t>
      </w:r>
    </w:p>
    <w:p>
      <w:pPr/>
      <w:r>
        <w:rPr/>
        <w:t xml:space="preserve">Préciser les informations indiquées sur la plaque signalétique qui comporte au minimum celles prévues par  le marquage CE selon l’annexe ZA de la norme NF EN 14785 :</w:t>
      </w:r>
    </w:p>
    <w:p>
      <w:pPr>
        <w:pPr/>
        <w:numPr>
          <w:ilvl w:val="0"/>
          <w:numId w:val="12"/>
        </w:numPr>
      </w:pPr>
      <w:r>
        <w:rPr/>
        <w:t xml:space="preserve">Marque et modèle du poêle</w:t>
      </w:r>
    </w:p>
    <w:p>
      <w:pPr>
        <w:pPr/>
        <w:numPr>
          <w:ilvl w:val="0"/>
          <w:numId w:val="12"/>
        </w:numPr>
      </w:pPr>
      <w:r>
        <w:rPr/>
        <w:t xml:space="preserve">Norme de référence</w:t>
      </w:r>
    </w:p>
    <w:p>
      <w:pPr>
        <w:pPr/>
        <w:numPr>
          <w:ilvl w:val="0"/>
          <w:numId w:val="12"/>
        </w:numPr>
      </w:pPr>
      <w:r>
        <w:rPr/>
        <w:t xml:space="preserve">Puissance du poêle</w:t>
      </w:r>
    </w:p>
    <w:p>
      <w:pPr>
        <w:pPr/>
        <w:numPr>
          <w:ilvl w:val="0"/>
          <w:numId w:val="12"/>
        </w:numPr>
      </w:pPr>
      <w:r>
        <w:rPr/>
        <w:t xml:space="preserve">Type de combustible</w:t>
      </w:r>
    </w:p>
    <w:p>
      <w:pPr>
        <w:pPr/>
        <w:numPr>
          <w:ilvl w:val="0"/>
          <w:numId w:val="12"/>
        </w:numPr>
      </w:pPr>
      <w:r>
        <w:rPr/>
        <w:t xml:space="preserve">Rendement énergétique</w:t>
      </w:r>
    </w:p>
    <w:p>
      <w:pPr>
        <w:pPr/>
        <w:numPr>
          <w:ilvl w:val="0"/>
          <w:numId w:val="12"/>
        </w:numPr>
      </w:pPr>
      <w:r>
        <w:rPr/>
        <w:t xml:space="preserve">Température des produits de combustion</w:t>
      </w:r>
    </w:p>
    <w:p>
      <w:pPr>
        <w:pPr/>
        <w:numPr>
          <w:ilvl w:val="0"/>
          <w:numId w:val="12"/>
        </w:numPr>
      </w:pPr>
      <w:r>
        <w:rPr/>
        <w:t xml:space="preserve">Taux de CO dans les fumées</w:t>
      </w:r>
    </w:p>
    <w:p>
      <w:pPr>
        <w:pPr/>
        <w:numPr>
          <w:ilvl w:val="0"/>
          <w:numId w:val="12"/>
        </w:numPr>
      </w:pPr>
      <w:r>
        <w:rPr/>
        <w:t xml:space="preserve">Distances par rapport aux matériaux combustibles</w:t>
      </w:r>
    </w:p>
    <w:p>
      <w:pPr/>
      <w:r>
        <w:rPr/>
        <w:t xml:space="preserve">Préciser que la plaque signalétique indique également le numéro du Document Technique d'Application et le fait que le circuit de combustion du poêle à granulés de bois soit étanche.</w:t>
      </w:r>
    </w:p>
    <w:p>
      <w:pPr/>
      <w:r>
        <w:rPr>
          <w:b/>
          <w:bCs/>
        </w:rPr>
        <w:t xml:space="preserve">Illustration</w:t>
      </w:r>
    </w:p>
    <w:p>
      <w:pPr/>
      <w:r>
        <w:rPr/>
        <w:t xml:space="preserve">Figure de la plaque signalétique</w:t>
      </w:r>
    </w:p>
    <w:p>
      <w:pPr>
        <w:ind w:left="720" w:right="0"/>
      </w:pPr>
      <w:r>
        <w:rPr>
          <w:rStyle w:val="font_h2"/>
        </w:rPr>
        <w:t xml:space="preserve">4.4. Déclarations de Performances (DoP)</w:t>
      </w:r>
    </w:p>
    <w:p>
      <w:pPr/>
      <w:r>
        <w:rPr/>
        <w:t xml:space="preserve">Validé par le Groupe Spécialisé le 02/04/2018</w:t>
      </w:r>
    </w:p>
    <w:p>
      <w:pPr/>
      <w:r>
        <w:rPr>
          <w:b/>
          <w:bCs/>
        </w:rPr>
        <w:t xml:space="preserve">Description</w:t>
      </w:r>
    </w:p>
    <w:p>
      <w:pPr/>
      <w:r>
        <w:rPr/>
        <w:t xml:space="preserve">Indiquer les numéros des Déclarations de Performances (DoP) pour chaque produit</w:t>
      </w:r>
    </w:p>
    <w:p>
      <w:pPr/>
      <w:r>
        <w:rPr>
          <w:b/>
          <w:bCs/>
        </w:rPr>
        <w:t xml:space="preserve">Justification</w:t>
      </w:r>
    </w:p>
    <w:p>
      <w:pPr/>
      <w:r>
        <w:rPr/>
        <w:t xml:space="preserve">Fournir les DoP des différents produits</w:t>
      </w:r>
    </w:p>
    <w:p>
      <w:pPr/>
      <w:r>
        <w:rPr>
          <w:b/>
          <w:bCs/>
        </w:rPr>
        <w:t xml:space="preserve">Critères d'évaluation</w:t>
      </w:r>
    </w:p>
    <w:p>
      <w:pPr/>
      <w:r>
        <w:rPr/>
        <w:t xml:space="preserve">Vérification de la cohérence entre les caractéristiques mentionnées dans les DoP et les caractéristiques des produits mentionnées dans le Dossier Technique.</w:t>
      </w:r>
    </w:p>
    <w:p>
      <w:pPr>
        <w:ind w:left="720" w:right="0"/>
      </w:pPr>
      <w:r>
        <w:rPr>
          <w:rStyle w:val="font_h2"/>
        </w:rPr>
        <w:t xml:space="preserve">4.5. Notice</w:t>
      </w:r>
    </w:p>
    <w:p>
      <w:pPr/>
      <w:r>
        <w:rPr/>
        <w:t xml:space="preserve">Validé par le Groupe Spécialisé le 13/12/2018</w:t>
      </w:r>
    </w:p>
    <w:p>
      <w:pPr/>
      <w:r>
        <w:rPr>
          <w:b/>
          <w:bCs/>
        </w:rPr>
        <w:t xml:space="preserve">Description</w:t>
      </w:r>
    </w:p>
    <w:p>
      <w:pPr/>
      <w:r>
        <w:rPr/>
        <w:t xml:space="preserve">Préciser qu'une notice d'installation et d'utilisation est jointe à chaque appareil et ce qu'elle contient.</w:t>
      </w:r>
    </w:p>
    <w:p>
      <w:pPr/>
      <w:r>
        <w:rPr/>
        <w:t xml:space="preserve">Préciser les caractéristiques des combustibles prévus dans la notice.</w:t>
      </w:r>
    </w:p>
    <w:p>
      <w:pPr/>
      <w:r>
        <w:rPr>
          <w:b/>
          <w:bCs/>
        </w:rPr>
        <w:t xml:space="preserve">Justification</w:t>
      </w:r>
    </w:p>
    <w:p>
      <w:pPr/>
      <w:r>
        <w:rPr/>
        <w:t xml:space="preserve">Fournir la notice d'installation et d'utilisation de tous les modèles de poêles.</w:t>
      </w:r>
    </w:p>
    <w:p>
      <w:pPr/>
      <w:r>
        <w:rPr>
          <w:b/>
          <w:bCs/>
        </w:rPr>
        <w:t xml:space="preserve">Critères d'évaluation</w:t>
      </w:r>
    </w:p>
    <w:p>
      <w:pPr/>
      <w:r>
        <w:rPr/>
        <w:t xml:space="preserve">La notice doit indiquer que les granulés de bois prévus sont des granulés de bois naturel à base de sciure certifiés de classe A1 selon la norme ISO 17225-2 (ENplus-A1, DIN Plus ou NF 444 de catégorie "NF Granulés Biocombustibles Bois Qualité Haute Performance"), et que tout combustible biomasse autre que ces granulés de bois est interdit.</w:t>
      </w:r>
    </w:p>
    <w:p>
      <w:pPr/>
      <w:r>
        <w:rPr>
          <w:rStyle w:val="font_h1"/>
        </w:rPr>
        <w:t xml:space="preserve">5. Dimensionnement et conception</w:t>
      </w:r>
    </w:p>
    <w:p>
      <w:pPr>
        <w:ind w:left="720" w:right="0"/>
      </w:pPr>
      <w:r>
        <w:rPr>
          <w:rStyle w:val="font_h2"/>
        </w:rPr>
        <w:t xml:space="preserve">5.1. Dimensionnement</w:t>
      </w:r>
    </w:p>
    <w:p>
      <w:pPr/>
      <w:r>
        <w:rPr/>
        <w:t xml:space="preserve">Validé par le Groupe Spécialisé le 03/10/2024</w:t>
      </w:r>
    </w:p>
    <w:p>
      <w:pPr/>
      <w:r>
        <w:rPr>
          <w:b/>
          <w:bCs/>
        </w:rPr>
        <w:t xml:space="preserve">Description</w:t>
      </w:r>
    </w:p>
    <w:p>
      <w:pPr/>
      <w:r>
        <w:rPr/>
        <w:t xml:space="preserve">Préciser que :</w:t>
      </w:r>
    </w:p>
    <w:p>
      <w:pPr>
        <w:pPr/>
        <w:numPr>
          <w:ilvl w:val="0"/>
          <w:numId w:val="13"/>
        </w:numPr>
      </w:pPr>
      <w:r>
        <w:rPr/>
        <w:t xml:space="preserve">Les conduits d'évacuation des produits de combustion associés sont des conduits conçus pour les poêles à granulés de bois à circuit de combustion étanche ; et qu'ils doivent être conformes à leur Document Technique d’Application spécifique.</w:t>
      </w:r>
    </w:p>
    <w:p>
      <w:pPr>
        <w:pPr/>
        <w:numPr>
          <w:ilvl w:val="0"/>
          <w:numId w:val="13"/>
        </w:numPr>
      </w:pPr>
      <w:r>
        <w:rPr/>
        <w:t xml:space="preserve">Le dimensionnement de l’installation du poêle avec le système d'amenée d'air comburant et d'évacuation des produits de combustion doit être déterminé suivant la norme de calcul NF EN 13384-1+A1 et en respectant les dispositions décrites dans le Cahier des Prescriptions Techniques communes n° 3708_V3.</w:t>
      </w:r>
    </w:p>
    <w:p>
      <w:pPr/>
      <w:r>
        <w:rPr/>
        <w:t xml:space="preserve">Indiquer les caractéristiques du poêle nécessaires au dimensionnement :</w:t>
      </w:r>
    </w:p>
    <w:p>
      <w:pPr>
        <w:pPr/>
        <w:numPr>
          <w:ilvl w:val="0"/>
          <w:numId w:val="14"/>
        </w:numPr>
      </w:pPr>
      <w:r>
        <w:rPr/>
        <w:t xml:space="preserve">Puissance</w:t>
      </w:r>
    </w:p>
    <w:p>
      <w:pPr>
        <w:pPr/>
        <w:numPr>
          <w:ilvl w:val="0"/>
          <w:numId w:val="14"/>
        </w:numPr>
      </w:pPr>
      <w:r>
        <w:rPr/>
        <w:t xml:space="preserve">Rendement</w:t>
      </w:r>
    </w:p>
    <w:p>
      <w:pPr>
        <w:pPr/>
        <w:numPr>
          <w:ilvl w:val="0"/>
          <w:numId w:val="14"/>
        </w:numPr>
      </w:pPr>
      <w:r>
        <w:rPr/>
        <w:t xml:space="preserve">Taux de CO2</w:t>
      </w:r>
    </w:p>
    <w:p>
      <w:pPr>
        <w:pPr/>
        <w:numPr>
          <w:ilvl w:val="0"/>
          <w:numId w:val="14"/>
        </w:numPr>
      </w:pPr>
      <w:r>
        <w:rPr/>
        <w:t xml:space="preserve">Température moyenne des fumées (préciser si la température indiquée est mesurée à la buse (Tw) ou au niveau du tronçon de mesure (Ta))</w:t>
      </w:r>
    </w:p>
    <w:p>
      <w:pPr>
        <w:pPr/>
        <w:numPr>
          <w:ilvl w:val="0"/>
          <w:numId w:val="14"/>
        </w:numPr>
      </w:pPr>
      <w:r>
        <w:rPr/>
        <w:t xml:space="preserve">Débit massique des fumées</w:t>
      </w:r>
    </w:p>
    <w:p>
      <w:pPr>
        <w:pPr/>
        <w:numPr>
          <w:ilvl w:val="0"/>
          <w:numId w:val="14"/>
        </w:numPr>
      </w:pPr>
      <w:r>
        <w:rPr/>
        <w:t xml:space="preserve">Tirage minimal requis à la buse Pw</w:t>
      </w:r>
    </w:p>
    <w:p>
      <w:pPr>
        <w:pPr/>
        <w:numPr>
          <w:ilvl w:val="0"/>
          <w:numId w:val="14"/>
        </w:numPr>
      </w:pPr>
      <w:r>
        <w:rPr/>
        <w:t xml:space="preserve">perte de charge maximale de l’alimentation en air (PB) à respecter lors du dimensionnement.</w:t>
      </w:r>
    </w:p>
    <w:p>
      <w:pPr/>
      <w:r>
        <w:rPr/>
        <w:t xml:space="preserve">Indiquer si la notice d'installation prévoit des longueurs maximales pour le système d’amenée d’air et d’évacuation des produits de combustion.</w:t>
      </w:r>
    </w:p>
    <w:p>
      <w:pPr/>
      <w:r>
        <w:rPr/>
        <w:t xml:space="preserve">Pour les poêles équipés d'une buse des fumées sur le dessus, préciser l'endroit ou le tirage minimal requis à la buse doit être considéré et les conditions de réalisation du dimensionnement (prise en compte ou non dans le dimensionnement de l'élément de conduit situé à l'intérieur de l’habillage du poêle).</w:t>
      </w:r>
    </w:p>
    <w:p>
      <w:pPr/>
      <w:r>
        <w:rPr/>
        <w:t xml:space="preserve">Indiquer dans les tableaux : « Perte de charge maximale de l’alimentation en air "PB" (Pa) ».</w:t>
      </w:r>
    </w:p>
    <w:p>
      <w:pPr/>
      <w:r>
        <w:rPr/>
        <w:t xml:space="preserve">Le terme « configuration horizontale » devra être remplacé par « configuration avec terminal horizontal ».</w:t>
      </w:r>
    </w:p>
    <w:p>
      <w:pPr>
        <w:ind w:left="720" w:right="0"/>
      </w:pPr>
      <w:r>
        <w:rPr>
          <w:rStyle w:val="font_h2"/>
        </w:rPr>
        <w:t xml:space="preserve">5.2. Règles de conception générales</w:t>
      </w:r>
    </w:p>
    <w:p>
      <w:pPr/>
      <w:r>
        <w:rPr/>
        <w:t xml:space="preserve">Validé par le Groupe Spécialisé le 26/03/2024</w:t>
      </w:r>
    </w:p>
    <w:p>
      <w:pPr/>
      <w:r>
        <w:rPr>
          <w:b/>
          <w:bCs/>
        </w:rPr>
        <w:t xml:space="preserve">Description</w:t>
      </w:r>
    </w:p>
    <w:p>
      <w:pPr/>
      <w:r>
        <w:rPr/>
        <w:t xml:space="preserve">Préciser que les règles de conception générales doivent respecter les dispositions du Cahier des Prescriptions Techniques communes n° 3708_V3 concernant :</w:t>
      </w:r>
    </w:p>
    <w:p>
      <w:pPr>
        <w:pPr/>
        <w:numPr>
          <w:ilvl w:val="0"/>
          <w:numId w:val="15"/>
        </w:numPr>
      </w:pPr>
      <w:r>
        <w:rPr/>
        <w:t xml:space="preserve">les appareils étanches à granulés de bois à circuit de combustion étanche sous Avis Technique,</w:t>
      </w:r>
    </w:p>
    <w:p>
      <w:pPr>
        <w:pPr/>
        <w:numPr>
          <w:ilvl w:val="0"/>
          <w:numId w:val="15"/>
        </w:numPr>
      </w:pPr>
      <w:r>
        <w:rPr/>
        <w:t xml:space="preserve">et les systèmes individuels d'amenée d'air comburant et d'évacuation des produits de combustion, sous Avis Technique, raccordés à des appareils étanches à granulés de bois.</w:t>
      </w:r>
    </w:p>
    <w:p>
      <w:pPr/>
      <w:r>
        <w:rPr/>
        <w:t xml:space="preserve">Pour les poêles-chaudières, préciser que les dispositions de sécurité de l’installation hydraulique doivent répondre au NF DTU 65.11. </w:t>
      </w:r>
    </w:p>
    <w:p>
      <w:pPr/>
      <w:r>
        <w:rPr/>
        <w:t xml:space="preserve">En outre :</w:t>
      </w:r>
    </w:p>
    <w:p>
      <w:pPr/>
      <w:r>
        <w:rPr/>
        <w:t xml:space="preserve">a) Local où est situé l'appareil</w:t>
      </w:r>
    </w:p>
    <w:p>
      <w:pPr/>
      <w:r>
        <w:rPr/>
        <w:t xml:space="preserve">Préciser dans quel local peut peut-être installé l'appareil et que ce local doit être ventilé.</w:t>
      </w:r>
    </w:p>
    <w:p>
      <w:pPr/>
      <w:r>
        <w:rPr/>
        <w:t xml:space="preserve">b) Conduits d'amenée d'air comburant</w:t>
      </w:r>
    </w:p>
    <w:p>
      <w:pPr/>
      <w:r>
        <w:rPr/>
        <w:t xml:space="preserve">Préciser quelles sont les dimensions minimales du conduit d'amenée d'air (en configuration concentrique et séparée)</w:t>
      </w:r>
    </w:p>
    <w:p>
      <w:pPr/>
      <w:r>
        <w:rPr/>
        <w:t xml:space="preserve">Préciser que dans le cas d’une prise d’air extérieure en configuration séparée, l’extrémité du terminal d’amenée d’air doit être équipée d'un dispositif prévu pour empêcher la pénétration des oiseaux et rongeurs  tout en conservant la section libre de passage d'air et dans ce cas la perte de charge induite par ce dispositif doit être prise en compte dans le dimensionnement de l'installation.</w:t>
      </w:r>
    </w:p>
    <w:p>
      <w:pPr/>
      <w:r>
        <w:rPr/>
        <w:t xml:space="preserve">c) Conduit d'évacuation des produits de combustion</w:t>
      </w:r>
    </w:p>
    <w:p>
      <w:pPr/>
      <w:r>
        <w:rPr/>
        <w:t xml:space="preserve">Préciser quels sont les dimensions minimales du conduit d'évacuation des produits de combustion (en configuration concentrique et séparée) et que l'évacuation des produits de combustion doit être réalisée conformément aux prescriptions du Document Technique d’Application du système d'amenée d'air comburant et d'évacuation des produits de combustion dont le domaine d'emploi vise les poêles à granulés de bois à circuit de combustion étanche.</w:t>
      </w:r>
    </w:p>
    <w:p>
      <w:pPr/>
      <w:r>
        <w:rPr/>
        <w:t xml:space="preserve">Préciser la hauteur minimale à respecter pour les conduits d'évacuation des produits de combustion comportant un terminal horizontal (en distinguant les poêles comportant une buse arrière et une buse sur le dessus).</w:t>
      </w:r>
    </w:p>
    <w:p>
      <w:pPr/>
      <w:r>
        <w:rPr/>
        <w:t xml:space="preserve">d) Position des terminaux</w:t>
      </w:r>
    </w:p>
    <w:p>
      <w:pPr/>
      <w:r>
        <w:rPr/>
        <w:t xml:space="preserve">Préciser que la position des terminaux doit être conforme au Document Technique d’Application du système d'amenée d'air et d'évacuation des produits de combustion et au Cahier des Prescriptions Techniques communes n° 3708_V3 donnent des prescriptions spécifiques de conception et de mise en œuvre des terminaux.</w:t>
      </w:r>
    </w:p>
    <w:p>
      <w:pPr/>
      <w:r>
        <w:rPr/>
        <w:t xml:space="preserve">Préciser le taux de recirculation maximal des fumées acceptable pour les poêles, dans le cas d'installation avec un conduit et terminal concentrique.</w:t>
      </w:r>
    </w:p>
    <w:p>
      <w:pPr/>
      <w:r>
        <w:rPr/>
        <w:t xml:space="preserve">Note : Les terminaux décrits dans les Documents Techniques d’Application des systèmes d’amenée d’air comburant et d’évacuation des produitsde combustion respectent un taux de recirculation maximal de 10 % , sauf dispositions spécifiques indiquées dans le Document Technique d’Applicationcorrespondant.</w:t>
      </w:r>
    </w:p>
    <w:p>
      <w:pPr/>
      <w:r>
        <w:rPr>
          <w:b/>
          <w:bCs/>
        </w:rPr>
        <w:t xml:space="preserve">Justification</w:t>
      </w:r>
    </w:p>
    <w:p>
      <w:pPr/>
      <w:r>
        <w:rPr/>
        <w:t xml:space="preserve">Si le taux de recirculation des fumées revendiqué est supérieur à 10 %, fournir un rapport d'essai de fonctionnement du poêle avec le taux de recirculation maximal prévu.</w:t>
      </w:r>
    </w:p>
    <w:p>
      <w:pPr/>
      <w:r>
        <w:rPr>
          <w:b/>
          <w:bCs/>
        </w:rPr>
        <w:t xml:space="preserve">Illustration</w:t>
      </w:r>
    </w:p>
    <w:p>
      <w:pPr/>
      <w:r>
        <w:rPr/>
        <w:t xml:space="preserve">Visuel du principe d'évacuation des produits de combustion : buse arrière (concentrique ou séparée), buse sur le dessus (concentrique ou séparée) avec ou sans té en pied de conduit de raccordement.</w:t>
      </w:r>
    </w:p>
    <w:p>
      <w:pPr/>
      <w:r>
        <w:rPr>
          <w:b/>
          <w:bCs/>
        </w:rPr>
        <w:t xml:space="preserve">Critères d'évaluation</w:t>
      </w:r>
    </w:p>
    <w:p>
      <w:pPr/>
      <w:r>
        <w:rPr/>
        <w:t xml:space="preserve">Respect de la réglementation  vis à vis du local dans lequel est installé l'appareil et vis à vis du système d'évacuation des produits de combustion.</w:t>
      </w:r>
    </w:p>
    <w:p>
      <w:pPr/>
      <w:r>
        <w:rPr/>
        <w:t xml:space="preserve">Si elle est prévue, fonctionnement du poêle en présence d'une recirculation supérieure  à 10 %.</w:t>
      </w:r>
    </w:p>
    <w:p>
      <w:pPr/>
      <w:r>
        <w:rPr/>
        <w:t xml:space="preserve">Pour les poêles-chaudières, respect des dispositions de sécurité de l’installation hydraulique prévues par le NF DTU 65.11.</w:t>
      </w:r>
    </w:p>
    <w:p>
      <w:pPr/>
      <w:r>
        <w:rPr>
          <w:rStyle w:val="font_h1"/>
        </w:rPr>
        <w:t xml:space="preserve">6. Mise en oeuvre</w:t>
      </w:r>
    </w:p>
    <w:p>
      <w:pPr>
        <w:ind w:left="720" w:right="0"/>
      </w:pPr>
      <w:r>
        <w:rPr>
          <w:rStyle w:val="font_h2"/>
        </w:rPr>
        <w:t xml:space="preserve">6.1. Généralités</w:t>
      </w:r>
    </w:p>
    <w:p>
      <w:pPr/>
      <w:r>
        <w:rPr/>
        <w:t xml:space="preserve">Validé par le Groupe Spécialisé le 01/07/2021</w:t>
      </w:r>
    </w:p>
    <w:p>
      <w:pPr/>
      <w:r>
        <w:rPr>
          <w:b/>
          <w:bCs/>
        </w:rPr>
        <w:t xml:space="preserve">Description</w:t>
      </w:r>
    </w:p>
    <w:p>
      <w:pPr/>
      <w:r>
        <w:rPr/>
        <w:t xml:space="preserve">Préciser les conditions de mise en oeuvre du poêle et notamment les conditions relatives au support et les distances aux matériaux combustibles à respecter.</w:t>
      </w:r>
    </w:p>
    <w:p>
      <w:pPr/>
      <w:r>
        <w:rPr/>
        <w:t xml:space="preserve">En particulier, pour les poêles avec sortie par le dessus, conçus pour être installés directement contre un mur ou à proximité d'un mur, préciser les dispositions spécifiques à prendre vis à vis des matériaux combustibles.</w:t>
      </w:r>
    </w:p>
    <w:p>
      <w:pPr/>
      <w:r>
        <w:rPr/>
        <w:t xml:space="preserve">Dans le cas des inserts, les dispositions spécifiques liées à la mise en œuvre et à l’entretien devront être précisées. Ces dispositions devront permettre d’assurer la sécurité de l’installation, notamment lors du rechargement, et le maintien de l’étanchéité de l’appareil lors de l’entretien. La réalisation de la hotte et de son habillage devront respecter les dispositions du NF DTU 24.2.</w:t>
      </w:r>
    </w:p>
    <w:p>
      <w:pPr>
        <w:ind w:left="720" w:right="0"/>
      </w:pPr>
      <w:r>
        <w:rPr>
          <w:rStyle w:val="font_h2"/>
        </w:rPr>
        <w:t xml:space="preserve">6.2. Raccordement du système d'amenée d'air et d'évacuation des produits de combustion</w:t>
      </w:r>
    </w:p>
    <w:p>
      <w:pPr/>
      <w:r>
        <w:rPr/>
        <w:t xml:space="preserve">Validé par le Groupe Spécialisé le 29/03/2018</w:t>
      </w:r>
    </w:p>
    <w:p>
      <w:pPr/>
      <w:r>
        <w:rPr>
          <w:b/>
          <w:bCs/>
        </w:rPr>
        <w:t xml:space="preserve">Description</w:t>
      </w:r>
    </w:p>
    <w:p>
      <w:pPr/>
      <w:r>
        <w:rPr/>
        <w:t xml:space="preserve">Préciser les conditions de raccordement au système d'amenée d'air comburant et d'évacuation des produits de combustion : diamètre minimum des conduits, principe de raccordement et fourniture des éventuels adaptateurs à utiliser.</w:t>
      </w:r>
    </w:p>
    <w:p>
      <w:pPr/>
      <w:r>
        <w:rPr/>
        <w:t xml:space="preserve">Préciser que le système d'amenée d'air comburant et d'évacuation des produits de combustion doit être installé conformément à son Document Technique d'Application.</w:t>
      </w:r>
    </w:p>
    <w:p>
      <w:pPr/>
      <w:r>
        <w:rPr>
          <w:rStyle w:val="font_h1"/>
        </w:rPr>
        <w:t xml:space="preserve">7. Mise en service et entretien</w:t>
      </w:r>
    </w:p>
    <w:p>
      <w:pPr/>
      <w:r>
        <w:rPr/>
        <w:t xml:space="preserve">Validé par le Groupe Spécialisé le 31/03/2022</w:t>
      </w:r>
    </w:p>
    <w:p>
      <w:pPr/>
      <w:r>
        <w:rPr>
          <w:b/>
          <w:bCs/>
        </w:rPr>
        <w:t xml:space="preserve">Description</w:t>
      </w:r>
    </w:p>
    <w:p>
      <w:pPr/>
      <w:r>
        <w:rPr/>
        <w:t xml:space="preserve">Préciser les opérations à réaliser lors de la mise en service et de l'entretien et qu'elles doivent être réalisées selon la notice de l'appareil.</w:t>
      </w:r>
    </w:p>
    <w:p>
      <w:pPr/>
      <w:r>
        <w:rPr/>
        <w:t xml:space="preserve">Préciser que l'entretien de l'installation et le ramonage doivent être conformes aux prescriptions de l'arrêté du 23 février 2009 relatif à la prévention des intoxications par le monoxyde de carbone dans les locaux à usage d'habitation (« arrêté CO ») et du RSDT « Règlementation Sanitaire Départemental Type ».</w:t>
      </w:r>
    </w:p>
    <w:p>
      <w:pPr/>
      <w:r>
        <w:rPr/>
        <w:t xml:space="preserve">Préciser que l’entretien de l’appareil est à effectuer 1 fois par an conformément à la réglementation en vigueur.</w:t>
      </w:r>
    </w:p>
    <w:p>
      <w:pPr/>
      <w:r>
        <w:rPr>
          <w:rStyle w:val="font_h1"/>
        </w:rPr>
        <w:t xml:space="preserve">8. Distribution et formation</w:t>
      </w:r>
    </w:p>
    <w:p>
      <w:pPr/>
      <w:r>
        <w:rPr/>
        <w:t xml:space="preserve">Validé par le Groupe Spécialisé le 29/03/2018</w:t>
      </w:r>
    </w:p>
    <w:p>
      <w:pPr/>
      <w:r>
        <w:rPr>
          <w:b/>
          <w:bCs/>
        </w:rPr>
        <w:t xml:space="preserve">Description</w:t>
      </w:r>
    </w:p>
    <w:p>
      <w:pPr/>
      <w:r>
        <w:rPr/>
        <w:t xml:space="preserve">Préciser quels sont les distributeurs du poêle et les personnes en charge de l'assistance technique en France.</w:t>
      </w:r>
    </w:p>
    <w:p>
      <w:pPr/>
      <w:r>
        <w:rPr/>
        <w:t xml:space="preserve">Préciser que les poêles doivent être installés par des professionnels qualifiés qui disposent d’un niveau de compétence professionnelle conforme à l’annexe IV de la directive 2009/28/CE.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58E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42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A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027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CBF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563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78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2026-06-20T17:53:48+02:00</dcterms:created>
  <dcterms:modified xsi:type="dcterms:W3CDTF">2026-06-20T17:53:48+02:00</dcterms:modified>
</cp:coreProperties>
</file>

<file path=docProps/custom.xml><?xml version="1.0" encoding="utf-8"?>
<Properties xmlns="http://schemas.openxmlformats.org/officeDocument/2006/custom-properties" xmlns:vt="http://schemas.openxmlformats.org/officeDocument/2006/docPropsVTypes"/>
</file>