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14/05/2026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Procédé de chemisage ou de tubage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Eléments constitutifs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Conditionnement</w:t>
      </w:r>
    </w:p>
    <w:p>
      <w:pPr>
        <w:ind w:left="720" w:right="0"/>
      </w:pPr>
      <w:r>
        <w:rPr>
          <w:rStyle w:val="font_h2"/>
        </w:rPr>
        <w:t xml:space="preserve">4.4. Stockage</w:t>
      </w:r>
    </w:p>
    <w:p>
      <w:pPr>
        <w:ind w:left="720" w:right="0"/>
      </w:pPr>
      <w:r>
        <w:rPr>
          <w:rStyle w:val="font_h2"/>
        </w:rPr>
        <w:t xml:space="preserve">4.5. Marquage</w:t>
      </w:r>
    </w:p>
    <w:p>
      <w:pPr>
        <w:ind w:left="720" w:right="0"/>
      </w:pPr>
      <w:r>
        <w:rPr>
          <w:rStyle w:val="font_h2"/>
        </w:rPr>
        <w:t xml:space="preserve">4.6. Certification</w:t>
      </w:r>
    </w:p>
    <w:p>
      <w:pPr/>
      <w:r>
        <w:rPr/>
        <w:t xml:space="preserve">Validé par le Groupe Spécialisé le 04/07/2019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Certification des chemises thermodurcissables :</w:t>
      </w:r>
    </w:p>
    <w:p>
      <w:pPr>
        <w:pPr/>
        <w:numPr>
          <w:ilvl w:val="0"/>
          <w:numId w:val="9"/>
        </w:numPr>
      </w:pPr>
      <w:r>
        <w:rPr/>
        <w:t xml:space="preserve">A la demande du GS n°14.2, la fabrication des chemises thermodurcissables doit être certifiée, suivant les critères d'évaluation indiqués ci-dessous.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chemises thermodurcissables doit répondre aux exigences minimales suivantes :</w:t>
      </w:r>
    </w:p>
    <w:p>
      <w:pPr>
        <w:pPr/>
        <w:numPr>
          <w:ilvl w:val="0"/>
          <w:numId w:val="10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10"/>
        </w:numPr>
      </w:pPr>
      <w:r>
        <w:rPr/>
        <w:t xml:space="preserve">un audit du site de production est réalisé tous les ans. Cet audit doit permettre de vérifier que les composants du procédés correspondent à ceux décrits dans le Dossier Technique.</w:t>
      </w:r>
    </w:p>
    <w:p>
      <w:pPr>
        <w:pPr/>
        <w:numPr>
          <w:ilvl w:val="0"/>
          <w:numId w:val="10"/>
        </w:numPr>
      </w:pPr>
      <w:r>
        <w:rPr/>
        <w:t xml:space="preserve">des prélèvements sont réalisés tous les ans, les échantillons prélevés font l'objet d'un essai de performance thermique et d'étanchéité</w:t>
      </w:r>
    </w:p>
    <w:p>
      <w:pPr/>
      <w:r>
        <w:rPr/>
        <w:t xml:space="preserve">Le GS n°14.2 reconnait que les certifications suivantes sont conformes aux critères d'évaluation ci-dessus : </w:t>
      </w:r>
    </w:p>
    <w:p>
      <w:pPr>
        <w:pPr/>
        <w:numPr>
          <w:ilvl w:val="0"/>
          <w:numId w:val="11"/>
        </w:numPr>
      </w:pPr>
      <w:r>
        <w:rPr/>
        <w:t xml:space="preserve">QB 40,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5. Mise en oeuvre</w:t>
      </w:r>
    </w:p>
    <w:p>
      <w:pPr>
        <w:ind w:left="720" w:right="0"/>
      </w:pPr>
      <w:r>
        <w:rPr>
          <w:rStyle w:val="font_h2"/>
        </w:rPr>
        <w:t xml:space="preserve">5.1. Diagnostic préalable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Mise en oeuvre</w:t>
      </w:r>
    </w:p>
    <w:p>
      <w:pPr/>
      <w:r>
        <w:rPr>
          <w:rStyle w:val="font_h1"/>
        </w:rPr>
        <w:t xml:space="preserve">6. Entretien</w:t>
      </w:r>
    </w:p>
    <w:p>
      <w:pPr/>
      <w:r>
        <w:rPr>
          <w:rStyle w:val="font_h1"/>
        </w:rPr>
        <w:t xml:space="preserve">7. Assistance technique et distribution commerciale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6A0A3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3EA1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42C1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2026-05-14T21:16:49+02:00</dcterms:created>
  <dcterms:modified xsi:type="dcterms:W3CDTF">2026-05-14T21:16:49+02:00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