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17.1 - Édité le 19/06/2026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17.1 « Réseaux et épuration / Epuration »</w:t>
      </w:r>
    </w:p>
    <w:p>
      <w:pPr/>
      <w:r>
        <w:rPr>
          <w:rStyle w:val="font_default"/>
        </w:rPr>
        <w:t xml:space="preserve">Famille de produits ou procédés : </w:t>
      </w:r>
      <w:r>
        <w:rPr>
          <w:rStyle w:val="font_h3"/>
        </w:rPr>
        <w:t xml:space="preserve">Procédé de traitement d'eau pluviale</w:t>
      </w:r>
    </w:p>
    <w:p>
      <w:pPr/>
      <w:r>
        <w:rPr>
          <w:rStyle w:val="font_h1"/>
        </w:rPr>
        <w:t xml:space="preserve">1. Principe</w:t>
      </w:r>
    </w:p>
    <w:p>
      <w:pPr/>
      <w:r>
        <w:rPr/>
        <w:t xml:space="preserve">Validé par le Groupe Spécialisé le 18/09/2019</w:t>
      </w:r>
    </w:p>
    <w:p>
      <w:pPr/>
      <w:r>
        <w:rPr>
          <w:b/>
          <w:bCs/>
        </w:rPr>
        <w:t xml:space="preserve">Description</w:t>
      </w:r>
    </w:p>
    <w:p>
      <w:pPr/>
      <w:r>
        <w:rPr/>
        <w:t xml:space="preserve">Décrire le principe, la gamme et les principaux composants et les limites d’emploi (nature des effluents, hydraulique, mécaniques).</w:t>
      </w:r>
    </w:p>
    <w:p>
      <w:pPr/>
      <w:r>
        <w:rPr>
          <w:rStyle w:val="font_h1"/>
        </w:rPr>
        <w:t xml:space="preserve">2. Modes de fabrication et matériaux</w:t>
      </w:r>
    </w:p>
    <w:p>
      <w:pPr>
        <w:ind w:left="720" w:right="0"/>
      </w:pPr>
      <w:r>
        <w:rPr>
          <w:rStyle w:val="font_h2"/>
        </w:rPr>
        <w:t xml:space="preserve">2.1. Modes de fabrication</w:t>
      </w:r>
    </w:p>
    <w:p>
      <w:pPr/>
      <w:r>
        <w:rPr/>
        <w:t xml:space="preserve">Validé par le Groupe Spécialisé le 18/09/2019</w:t>
      </w:r>
    </w:p>
    <w:p>
      <w:pPr/>
      <w:r>
        <w:rPr>
          <w:b/>
          <w:bCs/>
        </w:rPr>
        <w:t xml:space="preserve">Description</w:t>
      </w:r>
    </w:p>
    <w:p>
      <w:pPr/>
      <w:r>
        <w:rPr/>
        <w:t xml:space="preserve">Décrire les procédés de fabrication des principaux composants (rotomoulage, injection, extrusion, moulage etc…).</w:t>
      </w:r>
    </w:p>
    <w:p>
      <w:pPr/>
      <w:r>
        <w:rPr>
          <w:b/>
          <w:bCs/>
        </w:rPr>
        <w:t xml:space="preserve">Justification</w:t>
      </w:r>
    </w:p>
    <w:p>
      <w:pPr/>
      <w:r>
        <w:rPr/>
        <w:t xml:space="preserve">Visite d'usine.</w:t>
      </w:r>
    </w:p>
    <w:p>
      <w:pPr/>
      <w:r>
        <w:rPr>
          <w:b/>
          <w:bCs/>
        </w:rPr>
        <w:t xml:space="preserve">Critères d'évaluation</w:t>
      </w:r>
    </w:p>
    <w:p>
      <w:pPr/>
      <w:r>
        <w:rPr/>
        <w:t xml:space="preserve">Adéquation avec les objectifs et conformité au Dossier technique.</w:t>
      </w:r>
    </w:p>
    <w:p>
      <w:pPr>
        <w:ind w:left="720" w:right="0"/>
      </w:pPr>
      <w:r>
        <w:rPr>
          <w:rStyle w:val="font_h2"/>
        </w:rPr>
        <w:t xml:space="preserve">2.2. Matériaux</w:t>
      </w:r>
    </w:p>
    <w:p>
      <w:pPr/>
      <w:r>
        <w:rPr/>
        <w:t xml:space="preserve">Validé par le Groupe Spécialisé le 18/09/2019</w:t>
      </w:r>
    </w:p>
    <w:p>
      <w:pPr/>
      <w:r>
        <w:rPr>
          <w:b/>
          <w:bCs/>
        </w:rPr>
        <w:t xml:space="preserve">Description</w:t>
      </w:r>
    </w:p>
    <w:p>
      <w:pPr/>
      <w:r>
        <w:rPr/>
        <w:t xml:space="preserve">Décrire les matériaux utilisés pour la fabrication des principaux composants. La liste des fournisseurs et les caractéristiques des différentes matières sont déposés au CSTB.</w:t>
      </w:r>
    </w:p>
    <w:p>
      <w:pPr/>
      <w:r>
        <w:rPr>
          <w:b/>
          <w:bCs/>
        </w:rPr>
        <w:t xml:space="preserve">Justification</w:t>
      </w:r>
    </w:p>
    <w:p>
      <w:pPr/>
      <w:r>
        <w:rPr/>
        <w:t xml:space="preserve">Visite d’usine, visite de chantier, certificats de conformité (voir la NF EN 10204).</w:t>
      </w:r>
    </w:p>
    <w:p>
      <w:pPr/>
      <w:r>
        <w:rPr>
          <w:b/>
          <w:bCs/>
        </w:rPr>
        <w:t xml:space="preserve">Critères d'évaluation</w:t>
      </w:r>
    </w:p>
    <w:p>
      <w:pPr/>
      <w:r>
        <w:rPr/>
        <w:t xml:space="preserve">Conformité au Dossier technique.</w:t>
      </w:r>
    </w:p>
    <w:p>
      <w:pPr>
        <w:ind w:left="720" w:right="0"/>
      </w:pPr>
      <w:r>
        <w:rPr>
          <w:rStyle w:val="font_h2"/>
        </w:rPr>
        <w:t xml:space="preserve">2.3. Média filtrant/ absorbant</w:t>
      </w:r>
    </w:p>
    <w:p>
      <w:pPr/>
      <w:r>
        <w:rPr/>
        <w:t xml:space="preserve">Validé par le Groupe Spécialisé le 18/09/2019</w:t>
      </w:r>
    </w:p>
    <w:p>
      <w:pPr/>
      <w:r>
        <w:rPr>
          <w:b/>
          <w:bCs/>
        </w:rPr>
        <w:t xml:space="preserve">Description</w:t>
      </w:r>
    </w:p>
    <w:p>
      <w:pPr/>
      <w:r>
        <w:rPr/>
        <w:t xml:space="preserve">Pour les procédés utilisant des matériaux filtrant et/ou absorbant, décrire les matériaux utilisés. La liste des fournisseurs et les caractéristiques des différents matériaux sont déposés au CSTB.</w:t>
      </w:r>
    </w:p>
    <w:p>
      <w:pPr/>
      <w:r>
        <w:rPr>
          <w:b/>
          <w:bCs/>
        </w:rPr>
        <w:t xml:space="preserve">Justification</w:t>
      </w:r>
    </w:p>
    <w:p>
      <w:pPr/>
      <w:r>
        <w:rPr/>
        <w:t xml:space="preserve">Certificat.</w:t>
      </w:r>
    </w:p>
    <w:p>
      <w:pPr/>
      <w:r>
        <w:rPr>
          <w:b/>
          <w:bCs/>
        </w:rPr>
        <w:t xml:space="preserve">Critères d'évaluation</w:t>
      </w:r>
    </w:p>
    <w:p>
      <w:pPr/>
      <w:r>
        <w:rPr/>
        <w:t xml:space="preserve">Conformité au Dossier technique.</w:t>
      </w:r>
    </w:p>
    <w:p>
      <w:pPr/>
      <w:r>
        <w:rPr>
          <w:rStyle w:val="font_h1"/>
        </w:rPr>
        <w:t xml:space="preserve">3. Description du produit/ procédé</w:t>
      </w:r>
    </w:p>
    <w:p>
      <w:pPr/>
      <w:r>
        <w:rPr/>
        <w:t xml:space="preserve">Validé par le Groupe Spécialisé le 18/09/2019</w:t>
      </w:r>
    </w:p>
    <w:p>
      <w:pPr/>
      <w:r>
        <w:rPr>
          <w:b/>
          <w:bCs/>
        </w:rPr>
        <w:t xml:space="preserve">Description</w:t>
      </w:r>
    </w:p>
    <w:p>
      <w:pPr/>
      <w:r>
        <w:rPr/>
        <w:t xml:space="preserve">Les éléments descriptifs du produit/procédé comprennent :</w:t>
      </w:r>
    </w:p>
    <w:p>
      <w:pPr>
        <w:pPr/>
        <w:numPr>
          <w:ilvl w:val="0"/>
          <w:numId w:val="9"/>
        </w:numPr>
      </w:pPr>
      <w:r>
        <w:rPr/>
        <w:t xml:space="preserve">Aspect, état de finition,</w:t>
      </w:r>
    </w:p>
    <w:p>
      <w:pPr>
        <w:pPr/>
        <w:numPr>
          <w:ilvl w:val="0"/>
          <w:numId w:val="9"/>
        </w:numPr>
      </w:pPr>
      <w:r>
        <w:rPr/>
        <w:t xml:space="preserve">Dimensions et masses,</w:t>
      </w:r>
    </w:p>
    <w:p>
      <w:pPr>
        <w:pPr/>
        <w:numPr>
          <w:ilvl w:val="0"/>
          <w:numId w:val="9"/>
        </w:numPr>
      </w:pPr>
      <w:r>
        <w:rPr/>
        <w:t xml:space="preserve">Capacité de stockage des flottants ou liquides légers. La capacité de stockage des flottants et liquides légers peut être déterminée par CAO,</w:t>
      </w:r>
    </w:p>
    <w:p>
      <w:pPr>
        <w:pPr/>
        <w:numPr>
          <w:ilvl w:val="0"/>
          <w:numId w:val="9"/>
        </w:numPr>
      </w:pPr>
      <w:r>
        <w:rPr/>
        <w:t xml:space="preserve">Capacité de stockage des boues décantées. La capacité de stockage des boues décantées peut être déterminée par CAO,</w:t>
      </w:r>
    </w:p>
    <w:p>
      <w:pPr>
        <w:pPr/>
        <w:numPr>
          <w:ilvl w:val="0"/>
          <w:numId w:val="9"/>
        </w:numPr>
      </w:pPr>
      <w:r>
        <w:rPr/>
        <w:t xml:space="preserve">Performances épuratoires.</w:t>
      </w:r>
    </w:p>
    <w:p>
      <w:pPr/>
      <w:r>
        <w:rPr/>
        <w:t xml:space="preserve">L’évaluation des performances épuratoire s’effectue sur la base d’essais conventionnels (millesil) à échelle 1 ou sur maquette, voire étude aux éléments finis (mécanique et hydraulique) :</w:t>
      </w:r>
    </w:p>
    <w:p>
      <w:pPr>
        <w:pPr/>
        <w:numPr>
          <w:ilvl w:val="0"/>
          <w:numId w:val="10"/>
        </w:numPr>
      </w:pPr>
      <w:r>
        <w:rPr/>
        <w:t xml:space="preserve">Rétention des Matières en Suspension,</w:t>
      </w:r>
    </w:p>
    <w:p>
      <w:pPr>
        <w:pPr/>
        <w:numPr>
          <w:ilvl w:val="0"/>
          <w:numId w:val="10"/>
        </w:numPr>
      </w:pPr>
      <w:r>
        <w:rPr/>
        <w:t xml:space="preserve">Capacité éventuelle à retenir une pollution accidentelle,</w:t>
      </w:r>
    </w:p>
    <w:p>
      <w:pPr>
        <w:pPr/>
        <w:numPr>
          <w:ilvl w:val="0"/>
          <w:numId w:val="10"/>
        </w:numPr>
      </w:pPr>
      <w:r>
        <w:rPr/>
        <w:t xml:space="preserve">Rétention des métaux,</w:t>
      </w:r>
    </w:p>
    <w:p>
      <w:pPr/>
      <w:r>
        <w:rPr/>
        <w:t xml:space="preserve">Une étude sur site en vue de connaitre la pollution retenue par le dispositif sur une période donnée (vidange totale, concentrations, et analyse granulométrique de MES) permet de vérifier la capacité du dispositif à retenir la pollution visée.</w:t>
      </w:r>
    </w:p>
    <w:p>
      <w:pPr>
        <w:pPr/>
        <w:numPr>
          <w:ilvl w:val="0"/>
          <w:numId w:val="11"/>
        </w:numPr>
      </w:pPr>
      <w:r>
        <w:rPr/>
        <w:t xml:space="preserve">Étanchéité,</w:t>
      </w:r>
    </w:p>
    <w:p>
      <w:pPr>
        <w:pPr/>
        <w:numPr>
          <w:ilvl w:val="0"/>
          <w:numId w:val="11"/>
        </w:numPr>
      </w:pPr>
      <w:r>
        <w:rPr/>
        <w:t xml:space="preserve">Comportement mécanique,</w:t>
      </w:r>
    </w:p>
    <w:p>
      <w:pPr>
        <w:pPr/>
        <w:numPr>
          <w:ilvl w:val="0"/>
          <w:numId w:val="11"/>
        </w:numPr>
      </w:pPr>
      <w:r>
        <w:rPr/>
        <w:t xml:space="preserve">Comportement hydraulique (pertes de charge occasionnées par le procédé).</w:t>
      </w:r>
    </w:p>
    <w:p>
      <w:pPr/>
      <w:r>
        <w:rPr>
          <w:b/>
          <w:bCs/>
        </w:rPr>
        <w:t xml:space="preserve">Justification</w:t>
      </w:r>
    </w:p>
    <w:p>
      <w:pPr/>
      <w:r>
        <w:rPr/>
        <w:t xml:space="preserve">Rapports d'étude, références.</w:t>
      </w:r>
    </w:p>
    <w:p>
      <w:pPr/>
      <w:r>
        <w:rPr>
          <w:b/>
          <w:bCs/>
        </w:rPr>
        <w:t xml:space="preserve">Critères d'évaluation</w:t>
      </w:r>
    </w:p>
    <w:p>
      <w:pPr/>
      <w:r>
        <w:rPr/>
        <w:t xml:space="preserve">Conformité au Dossier technique.</w:t>
      </w:r>
    </w:p>
    <w:p>
      <w:pPr/>
      <w:r>
        <w:rPr>
          <w:rStyle w:val="font_h1"/>
        </w:rPr>
        <w:t xml:space="preserve">4. Marquage</w:t>
      </w:r>
    </w:p>
    <w:p>
      <w:pPr/>
      <w:r>
        <w:rPr/>
        <w:t xml:space="preserve">Validé par le Groupe Spécialisé le 18/09/2019</w:t>
      </w:r>
    </w:p>
    <w:p>
      <w:pPr/>
      <w:r>
        <w:rPr>
          <w:b/>
          <w:bCs/>
        </w:rPr>
        <w:t xml:space="preserve">Description</w:t>
      </w:r>
    </w:p>
    <w:p>
      <w:pPr/>
      <w:r>
        <w:rPr/>
        <w:t xml:space="preserve">Décrire les marquages.</w:t>
      </w:r>
    </w:p>
    <w:p>
      <w:pPr/>
      <w:r>
        <w:rPr/>
        <w:t xml:space="preserve">Exemple de rédaction :</w:t>
      </w:r>
    </w:p>
    <w:p>
      <w:pPr/>
      <w:r>
        <w:rPr/>
        <w:t xml:space="preserve">« Le marquage des ouvrages est conforme aux exigences liées à l’Avis Technique et au référentiel de la marque xxx.</w:t>
      </w:r>
    </w:p>
    <w:p>
      <w:pPr/>
      <w:r>
        <w:rPr>
          <w:b/>
          <w:bCs/>
        </w:rPr>
        <w:t xml:space="preserve">Justification</w:t>
      </w:r>
    </w:p>
    <w:p>
      <w:pPr/>
      <w:r>
        <w:rPr/>
        <w:t xml:space="preserve">Visite d'usine.</w:t>
      </w:r>
    </w:p>
    <w:p>
      <w:pPr/>
      <w:r>
        <w:rPr>
          <w:b/>
          <w:bCs/>
        </w:rPr>
        <w:t xml:space="preserve">Critères d'évaluation</w:t>
      </w:r>
    </w:p>
    <w:p>
      <w:pPr/>
      <w:r>
        <w:rPr/>
        <w:t xml:space="preserve">Conformité à l'Avis.</w:t>
      </w:r>
    </w:p>
    <w:p>
      <w:pPr/>
      <w:r>
        <w:rPr>
          <w:rStyle w:val="font_h1"/>
        </w:rPr>
        <w:t xml:space="preserve">5. Conditionnement, manutention, stockage</w:t>
      </w:r>
    </w:p>
    <w:p>
      <w:pPr/>
      <w:r>
        <w:rPr/>
        <w:t xml:space="preserve">Validé par le Groupe Spécialisé le 18/09/2019</w:t>
      </w:r>
    </w:p>
    <w:p>
      <w:pPr/>
      <w:r>
        <w:rPr>
          <w:b/>
          <w:bCs/>
        </w:rPr>
        <w:t xml:space="preserve">Description</w:t>
      </w:r>
    </w:p>
    <w:p>
      <w:pPr/>
      <w:r>
        <w:rPr/>
        <w:t xml:space="preserve">Décrire les conditions de stockage, conditionnement et manutention des composants.</w:t>
      </w:r>
    </w:p>
    <w:p>
      <w:pPr/>
      <w:r>
        <w:rPr>
          <w:b/>
          <w:bCs/>
        </w:rPr>
        <w:t xml:space="preserve">Justification</w:t>
      </w:r>
    </w:p>
    <w:p>
      <w:pPr/>
      <w:r>
        <w:rPr/>
        <w:t xml:space="preserve">Visite d'usine, visite de chantier.</w:t>
      </w:r>
    </w:p>
    <w:p>
      <w:pPr/>
      <w:r>
        <w:rPr>
          <w:rStyle w:val="font_h1"/>
        </w:rPr>
        <w:t xml:space="preserve">6. Conception et dimensionnement de l'ouvrage de traitement</w:t>
      </w:r>
    </w:p>
    <w:p>
      <w:pPr>
        <w:ind w:left="720" w:right="0"/>
      </w:pPr>
      <w:r>
        <w:rPr>
          <w:rStyle w:val="font_h2"/>
        </w:rPr>
        <w:t xml:space="preserve">6.1. Etude préalable</w:t>
      </w:r>
    </w:p>
    <w:p>
      <w:pPr>
        <w:ind w:left="1440" w:right="0"/>
      </w:pPr>
      <w:r>
        <w:rPr>
          <w:rStyle w:val="font_h3"/>
        </w:rPr>
        <w:t xml:space="preserve">6.1.1. Caractérisation du bassin versant</w:t>
      </w:r>
    </w:p>
    <w:p>
      <w:pPr/>
      <w:r>
        <w:rPr/>
        <w:t xml:space="preserve">Validé par le Groupe Spécialisé le 18/09/2019</w:t>
      </w:r>
    </w:p>
    <w:p>
      <w:pPr/>
      <w:r>
        <w:rPr>
          <w:b/>
          <w:bCs/>
        </w:rPr>
        <w:t xml:space="preserve">Description</w:t>
      </w:r>
    </w:p>
    <w:p>
      <w:pPr/>
      <w:r>
        <w:rPr/>
        <w:t xml:space="preserve">Exemple de rédaction :</w:t>
      </w:r>
    </w:p>
    <w:p>
      <w:pPr/>
      <w:r>
        <w:rPr/>
        <w:t xml:space="preserve">« La nature des surfaces de collecte par caractérisation des sous bassins doivent distinguer les :</w:t>
      </w:r>
    </w:p>
    <w:p>
      <w:pPr>
        <w:pPr/>
        <w:numPr>
          <w:ilvl w:val="0"/>
          <w:numId w:val="12"/>
        </w:numPr>
      </w:pPr>
      <w:r>
        <w:rPr/>
        <w:t xml:space="preserve">Toitures,</w:t>
      </w:r>
    </w:p>
    <w:p>
      <w:pPr>
        <w:pPr/>
        <w:numPr>
          <w:ilvl w:val="0"/>
          <w:numId w:val="12"/>
        </w:numPr>
      </w:pPr>
      <w:r>
        <w:rPr/>
        <w:t xml:space="preserve">Espaces verts,</w:t>
      </w:r>
    </w:p>
    <w:p>
      <w:pPr>
        <w:pPr/>
        <w:numPr>
          <w:ilvl w:val="0"/>
          <w:numId w:val="12"/>
        </w:numPr>
      </w:pPr>
      <w:r>
        <w:rPr/>
        <w:t xml:space="preserve">Chaussées,</w:t>
      </w:r>
    </w:p>
    <w:p>
      <w:pPr>
        <w:pPr/>
        <w:numPr>
          <w:ilvl w:val="0"/>
          <w:numId w:val="12"/>
        </w:numPr>
      </w:pPr>
      <w:r>
        <w:rPr/>
        <w:t xml:space="preserve">Route,</w:t>
      </w:r>
    </w:p>
    <w:p>
      <w:pPr>
        <w:pPr/>
        <w:numPr>
          <w:ilvl w:val="0"/>
          <w:numId w:val="12"/>
        </w:numPr>
      </w:pPr>
      <w:r>
        <w:rPr/>
        <w:t xml:space="preserve">Apports d’origines industriels.</w:t>
      </w:r>
    </w:p>
    <w:p>
      <w:pPr/>
      <w:r>
        <w:rPr/>
        <w:t xml:space="preserve">Les pentes et coefficients de ruissellement des sous-bassins versants doivent être renseignés.</w:t>
      </w:r>
    </w:p>
    <w:p>
      <w:pPr/>
      <w:r>
        <w:rPr>
          <w:b/>
          <w:bCs/>
        </w:rPr>
        <w:t xml:space="preserve">Justification</w:t>
      </w:r>
    </w:p>
    <w:p>
      <w:pPr/>
      <w:r>
        <w:rPr/>
        <w:t xml:space="preserve">Bibliographie.</w:t>
      </w:r>
    </w:p>
    <w:p>
      <w:pPr>
        <w:ind w:left="1440" w:right="0"/>
      </w:pPr>
      <w:r>
        <w:rPr>
          <w:rStyle w:val="font_h3"/>
        </w:rPr>
        <w:t xml:space="preserve">6.1.2. Objectifs du traitement</w:t>
      </w:r>
    </w:p>
    <w:p>
      <w:pPr/>
      <w:r>
        <w:rPr/>
        <w:t xml:space="preserve">Validé par le Groupe Spécialisé le 18/09/2019</w:t>
      </w:r>
    </w:p>
    <w:p>
      <w:pPr/>
      <w:r>
        <w:rPr>
          <w:b/>
          <w:bCs/>
        </w:rPr>
        <w:t xml:space="preserve">Description</w:t>
      </w:r>
    </w:p>
    <w:p>
      <w:pPr/>
      <w:r>
        <w:rPr/>
        <w:t xml:space="preserve">L’objectif du traitement est défini sur la base d’un rendement conventionnel établi à partir des essais tels que définis au § XX.</w:t>
      </w:r>
    </w:p>
    <w:p>
      <w:pPr/>
      <w:r>
        <w:rPr/>
        <w:t xml:space="preserve">Les objectifs du traitement doivent être définis. </w:t>
      </w:r>
    </w:p>
    <w:p>
      <w:pPr/>
      <w:r>
        <w:rPr/>
        <w:t xml:space="preserve">On distinguera :</w:t>
      </w:r>
    </w:p>
    <w:p>
      <w:pPr>
        <w:pPr/>
        <w:numPr>
          <w:ilvl w:val="0"/>
          <w:numId w:val="13"/>
        </w:numPr>
      </w:pPr>
      <w:r>
        <w:rPr/>
        <w:t xml:space="preserve">La rétention des MES en vue de faciliter les conditions d’entretien d’un dispositif d’infiltration enterré.</w:t>
      </w:r>
    </w:p>
    <w:p>
      <w:pPr>
        <w:pPr/>
        <w:numPr>
          <w:ilvl w:val="0"/>
          <w:numId w:val="13"/>
        </w:numPr>
      </w:pPr>
      <w:r>
        <w:rPr/>
        <w:t xml:space="preserve">La rétention des MES en vue d’un rejet dans un réseau unitaire ou pluvial,</w:t>
      </w:r>
    </w:p>
    <w:p>
      <w:pPr>
        <w:pPr/>
        <w:numPr>
          <w:ilvl w:val="0"/>
          <w:numId w:val="13"/>
        </w:numPr>
      </w:pPr>
      <w:r>
        <w:rPr/>
        <w:t xml:space="preserve">La rétention de la pollution avant rejet dans un milieu superficiel.</w:t>
      </w:r>
    </w:p>
    <w:p>
      <w:pPr>
        <w:pPr/>
        <w:numPr>
          <w:ilvl w:val="0"/>
          <w:numId w:val="13"/>
        </w:numPr>
      </w:pPr>
      <w:r>
        <w:rPr/>
        <w:t xml:space="preserve">La rétention des arrivées accidentelles d’hydrocarbures.</w:t>
      </w:r>
    </w:p>
    <w:p>
      <w:pPr>
        <w:pPr/>
        <w:numPr>
          <w:ilvl w:val="0"/>
          <w:numId w:val="13"/>
        </w:numPr>
      </w:pPr>
      <w:r>
        <w:rPr/>
        <w:t xml:space="preserve">…</w:t>
      </w:r>
    </w:p>
    <w:p>
      <w:pPr/>
      <w:r>
        <w:rPr>
          <w:b/>
          <w:bCs/>
        </w:rPr>
        <w:t xml:space="preserve">Justification</w:t>
      </w:r>
    </w:p>
    <w:p>
      <w:pPr/>
      <w:r>
        <w:rPr/>
        <w:t xml:space="preserve">Bibliographie</w:t>
      </w:r>
    </w:p>
    <w:p>
      <w:pPr>
        <w:ind w:left="1440" w:right="0"/>
      </w:pPr>
      <w:r>
        <w:rPr>
          <w:rStyle w:val="font_h3"/>
        </w:rPr>
        <w:t xml:space="preserve">6.1.3. Conditions hydrauliques</w:t>
      </w:r>
    </w:p>
    <w:p>
      <w:pPr/>
      <w:r>
        <w:rPr/>
        <w:t xml:space="preserve">Validé par le Groupe Spécialisé le 18/09/2019</w:t>
      </w:r>
    </w:p>
    <w:p>
      <w:pPr/>
      <w:r>
        <w:rPr>
          <w:b/>
          <w:bCs/>
        </w:rPr>
        <w:t xml:space="preserve">Description</w:t>
      </w:r>
    </w:p>
    <w:p>
      <w:pPr/>
      <w:r>
        <w:rPr/>
        <w:t xml:space="preserve">Les conditions hydrauliques doivent être fixées dans le cadre de l’étude préalable (intensité annuelle de pluie à prendre en compte).</w:t>
      </w:r>
    </w:p>
    <w:p>
      <w:pPr/>
      <w:r>
        <w:rPr>
          <w:b/>
          <w:bCs/>
        </w:rPr>
        <w:t xml:space="preserve">Justification</w:t>
      </w:r>
    </w:p>
    <w:p>
      <w:pPr/>
      <w:r>
        <w:rPr/>
        <w:t xml:space="preserve">Bibliographie.</w:t>
      </w:r>
    </w:p>
    <w:p>
      <w:pPr>
        <w:ind w:left="720" w:right="0"/>
      </w:pPr>
      <w:r>
        <w:rPr>
          <w:rStyle w:val="font_h2"/>
        </w:rPr>
        <w:t xml:space="preserve">6.2. Dimensionnement</w:t>
      </w:r>
    </w:p>
    <w:p>
      <w:pPr>
        <w:ind w:left="1440" w:right="0"/>
      </w:pPr>
      <w:r>
        <w:rPr>
          <w:rStyle w:val="font_h3"/>
        </w:rPr>
        <w:t xml:space="preserve">6.2.1. Approche par débit</w:t>
      </w:r>
    </w:p>
    <w:p>
      <w:pPr/>
      <w:r>
        <w:rPr/>
        <w:t xml:space="preserve">Validé par le Groupe Spécialisé le 18/09/2019</w:t>
      </w:r>
    </w:p>
    <w:p>
      <w:pPr/>
      <w:r>
        <w:rPr>
          <w:b/>
          <w:bCs/>
        </w:rPr>
        <w:t xml:space="preserve">Description</w:t>
      </w:r>
    </w:p>
    <w:p>
      <w:pPr/>
      <w:r>
        <w:rPr/>
        <w:t xml:space="preserve">Le dimensionnement peut s’effectuer selon une approche par débit ou par surface.</w:t>
      </w:r>
    </w:p>
    <w:p>
      <w:pPr/>
      <w:r>
        <w:rPr/>
        <w:t xml:space="preserve">Exemple de rédaction</w:t>
      </w:r>
    </w:p>
    <w:p>
      <w:pPr/>
      <w:r>
        <w:rPr/>
        <w:t xml:space="preserve">« Le choix du procédé est réalisé en fonction de l’objectif du traitement et des contraintes du site.</w:t>
      </w:r>
    </w:p>
    <w:p>
      <w:pPr/>
      <w:r>
        <w:rPr/>
        <w:t xml:space="preserve">Le choix du procédé et le dimensionnement de l’ouvrage sont réalisés selon le logigramme figurant en annexe.</w:t>
      </w:r>
    </w:p>
    <w:p>
      <w:pPr/>
      <w:r>
        <w:rPr/>
        <w:t xml:space="preserve">Les rendements conventionnels souhaités peuvent être obtenus à l’aide d’une seule unité de traitement Xxxx ou par la mise œuvre en parallèle de plusieurs tubes de sédimentation </w:t>
      </w:r>
    </w:p>
    <w:p>
      <w:pPr/>
      <w:r>
        <w:rPr/>
        <w:t xml:space="preserve">Après sélection du produit adéquat, le choix du DN et de la longueur peut s’effectuer selon deux approches (voir 6.21 et 6.22)</w:t>
      </w:r>
    </w:p>
    <w:p>
      <w:pPr/>
      <w:r>
        <w:rPr/>
        <w:t xml:space="preserve">Suivant les objectifs fixés par le maître d’ouvrage, on définit par lecture graphique des différentes courbes du Xxxx le débit de traitement (Q t) admissible à l’obtention du rendement épuratoire conventionnel souhaité.</w:t>
      </w:r>
    </w:p>
    <w:p>
      <w:pPr/>
      <w:r>
        <w:rPr/>
        <w:t xml:space="preserve">1) définition du rendement épuratoire conventionnel souhaité,</w:t>
      </w:r>
    </w:p>
    <w:p>
      <w:pPr/>
      <w:r>
        <w:rPr/>
        <w:t xml:space="preserve">2) définition du point d’intersection rendement /courbe produit,</w:t>
      </w:r>
    </w:p>
    <w:p>
      <w:pPr/>
      <w:r>
        <w:rPr/>
        <w:t xml:space="preserve">3) établissement du débit de traitement par unité.</w:t>
      </w:r>
    </w:p>
    <w:p>
      <w:pPr/>
      <w:r>
        <w:rPr/>
        <w:t xml:space="preserve">Nota : dans le cas où les prétraitements sont effectués en amont d’une structure de rétention (SAUL ou autre) le système ou l’ensemble de système Xxxx seront équipés d’un by-pass hydraulique pour rester cohérent avec les limites hydrauliques du Xxxx et l’objectif de rétention/rejet.»</w:t>
      </w:r>
    </w:p>
    <w:p>
      <w:pPr>
        <w:ind w:left="1440" w:right="0"/>
      </w:pPr>
      <w:r>
        <w:rPr>
          <w:rStyle w:val="font_h3"/>
        </w:rPr>
        <w:t xml:space="preserve">6.2.2. Approche par surface</w:t>
      </w:r>
    </w:p>
    <w:p>
      <w:pPr/>
      <w:r>
        <w:rPr/>
        <w:t xml:space="preserve">Validé par le Groupe Spécialisé le 18/09/2019</w:t>
      </w:r>
    </w:p>
    <w:p>
      <w:pPr/>
      <w:r>
        <w:rPr>
          <w:b/>
          <w:bCs/>
        </w:rPr>
        <w:t xml:space="preserve">Description</w:t>
      </w:r>
    </w:p>
    <w:p>
      <w:pPr/>
      <w:r>
        <w:rPr/>
        <w:t xml:space="preserve">Les études réalisées ont permis la réalisation de courbes reliant le rendement conventionnel (%) avec la surface (m²) et l’intensité pluviométrique (l/s.ha) annuelle.</w:t>
      </w:r>
    </w:p>
    <w:p>
      <w:pPr/>
      <w:r>
        <w:rPr/>
        <w:t xml:space="preserve">1) Choix de la surface active de récolte,</w:t>
      </w:r>
    </w:p>
    <w:p>
      <w:pPr/>
      <w:r>
        <w:rPr/>
        <w:t xml:space="preserve">2) définition du point d’intersection rendement /courbe produit,</w:t>
      </w:r>
    </w:p>
    <w:p>
      <w:pPr/>
      <w:r>
        <w:rPr/>
        <w:t xml:space="preserve">3) établissement du rendement épuratoire conventionnel souhaité. »</w:t>
      </w:r>
    </w:p>
    <w:p>
      <w:pPr/>
      <w:r>
        <w:rPr>
          <w:rStyle w:val="font_h1"/>
        </w:rPr>
        <w:t xml:space="preserve">7. Mise en oeuvre</w:t>
      </w:r>
    </w:p>
    <w:p>
      <w:pPr/>
      <w:r>
        <w:rPr/>
        <w:t xml:space="preserve">Validé par le Groupe Spécialisé le 18/09/2019</w:t>
      </w:r>
    </w:p>
    <w:p>
      <w:pPr/>
      <w:r>
        <w:rPr>
          <w:b/>
          <w:bCs/>
        </w:rPr>
        <w:t xml:space="preserve">Description</w:t>
      </w:r>
    </w:p>
    <w:p>
      <w:pPr/>
      <w:r>
        <w:rPr/>
        <w:t xml:space="preserve">Décrire les phases essentielles de mise en œuvre. Consulter le Fascicule 70.</w:t>
      </w:r>
    </w:p>
    <w:p>
      <w:pPr/>
      <w:r>
        <w:rPr>
          <w:b/>
          <w:bCs/>
        </w:rPr>
        <w:t xml:space="preserve">Justification</w:t>
      </w:r>
    </w:p>
    <w:p>
      <w:pPr/>
      <w:r>
        <w:rPr/>
        <w:t xml:space="preserve">Visite de chantier.</w:t>
      </w:r>
    </w:p>
    <w:p>
      <w:pPr/>
      <w:r>
        <w:rPr>
          <w:b/>
          <w:bCs/>
        </w:rPr>
        <w:t xml:space="preserve">Critères d'évaluation</w:t>
      </w:r>
    </w:p>
    <w:p>
      <w:pPr/>
      <w:r>
        <w:rPr/>
        <w:t xml:space="preserve">Faisabilité.</w:t>
      </w:r>
    </w:p>
    <w:p>
      <w:pPr/>
      <w:r>
        <w:rPr>
          <w:rStyle w:val="font_h1"/>
        </w:rPr>
        <w:t xml:space="preserve">8. Entretien et maintenance</w:t>
      </w:r>
    </w:p>
    <w:p>
      <w:pPr>
        <w:ind w:left="720" w:right="0"/>
      </w:pPr>
      <w:r>
        <w:rPr>
          <w:rStyle w:val="font_h2"/>
        </w:rPr>
        <w:t xml:space="preserve">8.1. A réception</w:t>
      </w:r>
    </w:p>
    <w:p>
      <w:pPr/>
      <w:r>
        <w:rPr/>
        <w:t xml:space="preserve">Validé par le Groupe Spécialisé le 18/09/2019</w:t>
      </w:r>
    </w:p>
    <w:p>
      <w:pPr/>
      <w:r>
        <w:rPr>
          <w:b/>
          <w:bCs/>
        </w:rPr>
        <w:t xml:space="preserve">Description</w:t>
      </w:r>
    </w:p>
    <w:p>
      <w:pPr/>
      <w:r>
        <w:rPr/>
        <w:t xml:space="preserve">Exemple de rédaction :</w:t>
      </w:r>
    </w:p>
    <w:p>
      <w:pPr/>
      <w:r>
        <w:rPr/>
        <w:t xml:space="preserve">« Le procédé doit faire l’objet d’un curage à réception de l’ouvrage. »</w:t>
      </w:r>
    </w:p>
    <w:p>
      <w:pPr/>
      <w:r>
        <w:rPr>
          <w:b/>
          <w:bCs/>
        </w:rPr>
        <w:t xml:space="preserve">Justification</w:t>
      </w:r>
    </w:p>
    <w:p>
      <w:pPr/>
      <w:r>
        <w:rPr/>
        <w:t xml:space="preserve">Références, retour d’expérience.</w:t>
      </w:r>
    </w:p>
    <w:p>
      <w:pPr/>
      <w:r>
        <w:rPr>
          <w:b/>
          <w:bCs/>
        </w:rPr>
        <w:t xml:space="preserve">Critères d'évaluation</w:t>
      </w:r>
    </w:p>
    <w:p>
      <w:pPr/>
      <w:r>
        <w:rPr/>
        <w:t xml:space="preserve">Faisabilité.</w:t>
      </w:r>
    </w:p>
    <w:p>
      <w:pPr>
        <w:ind w:left="720" w:right="0"/>
      </w:pPr>
      <w:r>
        <w:rPr>
          <w:rStyle w:val="font_h2"/>
        </w:rPr>
        <w:t xml:space="preserve">8.2. En exploitation</w:t>
      </w:r>
    </w:p>
    <w:p>
      <w:pPr/>
      <w:r>
        <w:rPr/>
        <w:t xml:space="preserve">Validé par le Groupe Spécialisé le 18/09/2019</w:t>
      </w:r>
    </w:p>
    <w:p>
      <w:pPr/>
      <w:r>
        <w:rPr>
          <w:b/>
          <w:bCs/>
        </w:rPr>
        <w:t xml:space="preserve">Description</w:t>
      </w:r>
    </w:p>
    <w:p>
      <w:pPr/>
      <w:r>
        <w:rPr/>
        <w:t xml:space="preserve">Exemple de rédaction :</w:t>
      </w:r>
    </w:p>
    <w:p>
      <w:pPr/>
      <w:r>
        <w:rPr/>
        <w:t xml:space="preserve">« Les volumes de boues captées par les systèmes Xxxx dépendent de conditions locales (surface de collecte et nature des évènements pluvieux).</w:t>
      </w:r>
    </w:p>
    <w:p>
      <w:pPr/>
      <w:r>
        <w:rPr/>
        <w:t xml:space="preserve">Au plus tard, un deuxième curage doit être réalisé à l’issue de la première année de fonctionnement. Au cours de cet entretien une vidéo-inspection par caméra est nécessaire.</w:t>
      </w:r>
    </w:p>
    <w:p>
      <w:pPr/>
      <w:r>
        <w:rPr/>
        <w:t xml:space="preserve">La fréquence de curage à actualiser est déterminée à partir de l’estimation des volumes de boues observés. </w:t>
      </w:r>
    </w:p>
    <w:p>
      <w:pPr/>
      <w:r>
        <w:rPr/>
        <w:t xml:space="preserve">L’intervalle maximum sans entretien ne doit pas dépasser 4 ans. »</w:t>
      </w:r>
    </w:p>
    <w:p>
      <w:pPr/>
      <w:r>
        <w:rPr>
          <w:b/>
          <w:bCs/>
        </w:rPr>
        <w:t xml:space="preserve">Justification</w:t>
      </w:r>
    </w:p>
    <w:p>
      <w:pPr/>
      <w:r>
        <w:rPr/>
        <w:t xml:space="preserve">Références, retours d'expérience.</w:t>
      </w:r>
    </w:p>
    <w:p>
      <w:pPr/>
      <w:r>
        <w:rPr>
          <w:b/>
          <w:bCs/>
        </w:rPr>
        <w:t xml:space="preserve">Critères d'évaluation</w:t>
      </w:r>
    </w:p>
    <w:p>
      <w:pPr/>
      <w:r>
        <w:rPr/>
        <w:t xml:space="preserve">Faisabilité.</w:t>
      </w:r>
    </w:p>
    <w:p>
      <w:pPr>
        <w:ind w:left="720" w:right="0"/>
      </w:pPr>
      <w:r>
        <w:rPr>
          <w:rStyle w:val="font_h2"/>
        </w:rPr>
        <w:t xml:space="preserve">8.3. Recommandations</w:t>
      </w:r>
    </w:p>
    <w:p>
      <w:pPr/>
      <w:r>
        <w:rPr/>
        <w:t xml:space="preserve">Validé par le Groupe Spécialisé le 18/09/2019</w:t>
      </w:r>
    </w:p>
    <w:p>
      <w:pPr/>
      <w:r>
        <w:rPr>
          <w:b/>
          <w:bCs/>
        </w:rPr>
        <w:t xml:space="preserve">Description</w:t>
      </w:r>
    </w:p>
    <w:p>
      <w:pPr/>
      <w:r>
        <w:rPr/>
        <w:t xml:space="preserve">Exemple de rédaction :</w:t>
      </w:r>
    </w:p>
    <w:p>
      <w:pPr/>
      <w:r>
        <w:rPr/>
        <w:t xml:space="preserve">« Les opérations de maintenance s’effectuent à partir des regards ou boîtes d’inspection en amont ou aval des tubes de sédimentation.</w:t>
      </w:r>
    </w:p>
    <w:p>
      <w:pPr/>
      <w:r>
        <w:rPr/>
        <w:t xml:space="preserve">L'introduction des outils d’inspection est facilitée par la console de service dans le regard de départ. </w:t>
      </w:r>
    </w:p>
    <w:p>
      <w:pPr/>
      <w:r>
        <w:rPr/>
        <w:t xml:space="preserve">Le pompage ou l’inspection s’effectue à partir du regard amont, point bas du système.</w:t>
      </w:r>
    </w:p>
    <w:p>
      <w:pPr/>
      <w:r>
        <w:rPr/>
        <w:t xml:space="preserve">Le curage sera effectué à l’aide d’une buse rotative (Pression 80 à 120 bars) conformément aux prescriptions de la norme NF P16-442.</w:t>
      </w:r>
    </w:p>
    <w:p>
      <w:pPr/>
      <w:r>
        <w:rPr/>
        <w:t xml:space="preserve">Les déchets extraits doivent être éliminés en respectant les exigences réglementaires.</w:t>
      </w:r>
    </w:p>
    <w:p>
      <w:pPr/>
      <w:r>
        <w:rPr/>
        <w:t xml:space="preserve">Note: Dans le cas d'un déversement accidentel d’hydrocarbures l'installation doit être vidangée et curée aussi vite que possible. A défaut une pluie ultérieure peut conduire à un rejet d’hydrocarbures.</w:t>
      </w:r>
    </w:p>
    <w:p>
      <w:pPr/>
      <w:r>
        <w:rPr/>
        <w:t xml:space="preserve">XXXX fournit un guide d’entretien reprenant ces éléments. »</w:t>
      </w:r>
    </w:p>
    <w:p>
      <w:pPr/>
      <w:r>
        <w:rPr>
          <w:b/>
          <w:bCs/>
        </w:rPr>
        <w:t xml:space="preserve">Justification</w:t>
      </w:r>
    </w:p>
    <w:p>
      <w:pPr/>
      <w:r>
        <w:rPr/>
        <w:t xml:space="preserve">Références, retour d'expérience</w:t>
      </w:r>
    </w:p>
    <w:p>
      <w:pPr/>
      <w:r>
        <w:rPr>
          <w:b/>
          <w:bCs/>
        </w:rPr>
        <w:t xml:space="preserve">Critères d'évaluation</w:t>
      </w:r>
    </w:p>
    <w:p>
      <w:pPr/>
      <w:r>
        <w:rPr/>
        <w:t xml:space="preserve">Faisabilité</w:t>
      </w:r>
    </w:p>
    <w:p>
      <w:pPr/>
      <w:r>
        <w:rPr>
          <w:rStyle w:val="font_h1"/>
        </w:rPr>
        <w:t xml:space="preserve">9. Contrôles internes</w:t>
      </w:r>
    </w:p>
    <w:p>
      <w:pPr/>
      <w:r>
        <w:rPr/>
        <w:t xml:space="preserve">Validé par le Groupe Spécialisé le 18/09/2019</w:t>
      </w:r>
    </w:p>
    <w:p>
      <w:pPr/>
      <w:r>
        <w:rPr>
          <w:b/>
          <w:bCs/>
        </w:rPr>
        <w:t xml:space="preserve">Description</w:t>
      </w:r>
    </w:p>
    <w:p>
      <w:pPr/>
      <w:r>
        <w:rPr/>
        <w:t xml:space="preserve">Préciser les contrôles internes effectués sur les produits.</w:t>
      </w:r>
    </w:p>
    <w:p>
      <w:pPr>
        <w:pPr/>
        <w:numPr>
          <w:ilvl w:val="0"/>
          <w:numId w:val="14"/>
        </w:numPr>
      </w:pPr>
      <w:r>
        <w:rPr/>
        <w:t xml:space="preserve">Contrôle sur les matières premières</w:t>
      </w:r>
    </w:p>
    <w:p>
      <w:pPr>
        <w:pPr/>
        <w:numPr>
          <w:ilvl w:val="0"/>
          <w:numId w:val="14"/>
        </w:numPr>
      </w:pPr>
      <w:r>
        <w:rPr/>
        <w:t xml:space="preserve">Contrôle sur le process de fabrication</w:t>
      </w:r>
    </w:p>
    <w:p>
      <w:pPr>
        <w:pPr/>
        <w:numPr>
          <w:ilvl w:val="0"/>
          <w:numId w:val="14"/>
        </w:numPr>
      </w:pPr>
      <w:r>
        <w:rPr/>
        <w:t xml:space="preserve">Contrôle sur les produits finis.</w:t>
      </w:r>
    </w:p>
    <w:p>
      <w:pPr/>
      <w:r>
        <w:rPr>
          <w:b/>
          <w:bCs/>
        </w:rPr>
        <w:t xml:space="preserve">Justification</w:t>
      </w:r>
    </w:p>
    <w:p>
      <w:pPr/>
      <w:r>
        <w:rPr/>
        <w:t xml:space="preserve">Registres, certificats.</w:t>
      </w:r>
    </w:p>
    <w:p>
      <w:pPr/>
      <w:r>
        <w:rPr>
          <w:b/>
          <w:bCs/>
        </w:rPr>
        <w:t xml:space="preserve">Critères d'évaluation</w:t>
      </w:r>
    </w:p>
    <w:p>
      <w:pPr/>
      <w:r>
        <w:rPr/>
        <w:t xml:space="preserve">Conformité au Dossier technique.</w:t>
      </w:r>
    </w:p>
    <w:p>
      <w:pPr/>
      <w:r>
        <w:rPr>
          <w:rStyle w:val="font_h1"/>
        </w:rPr>
        <w:t xml:space="preserve">10. Contrôles externes</w:t>
      </w:r>
    </w:p>
    <w:p>
      <w:pPr>
        <w:ind w:left="720" w:right="0"/>
      </w:pPr>
      <w:r>
        <w:rPr>
          <w:rStyle w:val="font_h2"/>
        </w:rPr>
        <w:t xml:space="preserve">10.1. Management de la qualité</w:t>
      </w:r>
    </w:p>
    <w:p>
      <w:pPr/>
      <w:r>
        <w:rPr/>
        <w:t xml:space="preserve">Validé par le Groupe Spécialisé le 18/09/2019</w:t>
      </w:r>
    </w:p>
    <w:p>
      <w:pPr/>
      <w:r>
        <w:rPr>
          <w:b/>
          <w:bCs/>
        </w:rPr>
        <w:t xml:space="preserve">Description</w:t>
      </w:r>
    </w:p>
    <w:p>
      <w:pPr/>
      <w:r>
        <w:rPr/>
        <w:t xml:space="preserve">Exemple de rédaction :</w:t>
      </w:r>
    </w:p>
    <w:p>
      <w:pPr/>
      <w:r>
        <w:rPr/>
        <w:t xml:space="preserve">« Le système qualité mis en place dans les usines de production est basé sur les exigences de la norme ISO 9001 (version 2008). »</w:t>
      </w:r>
    </w:p>
    <w:p>
      <w:pPr/>
      <w:r>
        <w:rPr>
          <w:b/>
          <w:bCs/>
        </w:rPr>
        <w:t xml:space="preserve">Justification</w:t>
      </w:r>
    </w:p>
    <w:p>
      <w:pPr/>
      <w:r>
        <w:rPr/>
        <w:t xml:space="preserve">Référentiel de marque en anglais ou français.</w:t>
      </w:r>
    </w:p>
    <w:p>
      <w:pPr/>
      <w:r>
        <w:rPr>
          <w:b/>
          <w:bCs/>
        </w:rPr>
        <w:t xml:space="preserve">Critères d'évaluation</w:t>
      </w:r>
    </w:p>
    <w:p>
      <w:pPr/>
      <w:r>
        <w:rPr/>
        <w:t xml:space="preserve">Évaluation de la marque revendiquée (indépendance, lisibilité etc…).</w:t>
      </w:r>
    </w:p>
    <w:p>
      <w:pPr>
        <w:ind w:left="720" w:right="0"/>
      </w:pPr>
      <w:r>
        <w:rPr>
          <w:rStyle w:val="font_h2"/>
        </w:rPr>
        <w:t xml:space="preserve">10.2. Certification produit</w:t>
      </w:r>
    </w:p>
    <w:p>
      <w:pPr/>
      <w:r>
        <w:rPr/>
        <w:t xml:space="preserve">Validé par le Groupe Spécialisé le 18/09/2019</w:t>
      </w:r>
    </w:p>
    <w:p>
      <w:pPr/>
      <w:r>
        <w:rPr>
          <w:b/>
          <w:bCs/>
        </w:rPr>
        <w:t xml:space="preserve">Description</w:t>
      </w:r>
    </w:p>
    <w:p>
      <w:pPr/>
      <w:r>
        <w:rPr/>
        <w:t xml:space="preserve">Exemple de rédaction :</w:t>
      </w:r>
    </w:p>
    <w:p>
      <w:pPr/>
      <w:r>
        <w:rPr/>
        <w:t xml:space="preserve">« Les produits font l’objet de contrôles réguliers par les organismes suivants : XXX</w:t>
      </w:r>
    </w:p>
    <w:p>
      <w:pPr/>
      <w:r>
        <w:rPr/>
        <w:t xml:space="preserve">Les enveloppes font l'objet d'une certification matérialisée par la marque XXX qui atteste, pour chaque site de fabrication, la régularité et le résultat satisfaisant du contrôle interne.</w:t>
      </w:r>
    </w:p>
    <w:p>
      <w:pPr/>
      <w:r>
        <w:rPr/>
        <w:t xml:space="preserve">Les produits bénéficiant d’un certificat valide sont identifiables par la présence, sur les produits, du logo XXX.</w:t>
      </w:r>
    </w:p>
    <w:p>
      <w:pPr/>
      <w:r>
        <w:rPr/>
        <w:t xml:space="preserve">Les caractéristiques certifiées sont les suivantes :</w:t>
      </w:r>
    </w:p>
    <w:p>
      <w:pPr>
        <w:pPr/>
        <w:numPr>
          <w:ilvl w:val="0"/>
          <w:numId w:val="15"/>
        </w:numPr>
      </w:pPr>
      <w:r>
        <w:rPr/>
        <w:t xml:space="preserve">Caractéristiques dimensionnelles,</w:t>
      </w:r>
    </w:p>
    <w:p>
      <w:pPr>
        <w:pPr/>
        <w:numPr>
          <w:ilvl w:val="0"/>
          <w:numId w:val="15"/>
        </w:numPr>
      </w:pPr>
      <w:r>
        <w:rPr/>
        <w:t xml:space="preserve">Caractéristiques mécaniques,</w:t>
      </w:r>
    </w:p>
    <w:p>
      <w:pPr>
        <w:pPr/>
        <w:numPr>
          <w:ilvl w:val="0"/>
          <w:numId w:val="15"/>
        </w:numPr>
      </w:pPr>
      <w:r>
        <w:rPr/>
        <w:t xml:space="preserve">Étanchéité.</w:t>
      </w:r>
    </w:p>
    <w:p>
      <w:pPr/>
      <w:r>
        <w:rPr/>
        <w:t xml:space="preserve">Les contrôles réalisés par XXX comprennent au minimum une visite par an du centre de fabrication pour validation du système qualité.</w:t>
      </w:r>
    </w:p>
    <w:p>
      <w:pPr/>
      <w:r>
        <w:rPr/>
        <w:t xml:space="preserve">Les essais suivants sont réalisés en usine, ou dans les laboratoires du XXX :</w:t>
      </w:r>
    </w:p>
    <w:p>
      <w:pPr>
        <w:pPr/>
        <w:numPr>
          <w:ilvl w:val="0"/>
          <w:numId w:val="16"/>
        </w:numPr>
      </w:pPr>
      <w:r>
        <w:rPr/>
        <w:t xml:space="preserve">Caractéristiques dimensionnelles de la boîte d’inspection et d’un regard XL,</w:t>
      </w:r>
    </w:p>
    <w:p>
      <w:pPr>
        <w:pPr/>
        <w:numPr>
          <w:ilvl w:val="0"/>
          <w:numId w:val="16"/>
        </w:numPr>
      </w:pPr>
      <w:r>
        <w:rPr/>
        <w:t xml:space="preserve">Caractéristiques dimensionnelles d’un tube de sédimentation. »</w:t>
      </w:r>
    </w:p>
    <w:p>
      <w:pPr/>
      <w:r>
        <w:rPr>
          <w:b/>
          <w:bCs/>
        </w:rPr>
        <w:t xml:space="preserve">Justification</w:t>
      </w:r>
    </w:p>
    <w:p>
      <w:pPr/>
      <w:r>
        <w:rPr/>
        <w:t xml:space="preserve">Référentiel de marque en anglais ou français.</w:t>
      </w:r>
    </w:p>
    <w:p>
      <w:pPr/>
      <w:r>
        <w:rPr>
          <w:b/>
          <w:bCs/>
        </w:rPr>
        <w:t xml:space="preserve">Critères d'évaluation</w:t>
      </w:r>
    </w:p>
    <w:p>
      <w:pPr/>
      <w:r>
        <w:rPr/>
        <w:t xml:space="preserve">Évaluation de la marque revendiquée (indépendance, lisibilité etc…).</w:t>
      </w:r>
    </w:p>
    <w:p>
      <w:pPr/>
      <w:r>
        <w:rPr>
          <w:rStyle w:val="font_h1"/>
        </w:rPr>
        <w:t xml:space="preserve">11. Mode de commercialisation</w:t>
      </w:r>
    </w:p>
    <w:p>
      <w:pPr/>
      <w:r>
        <w:rPr/>
        <w:t xml:space="preserve">Validé par le Groupe Spécialisé le 18/09/2019</w:t>
      </w:r>
    </w:p>
    <w:p>
      <w:pPr/>
      <w:r>
        <w:rPr>
          <w:b/>
          <w:bCs/>
        </w:rPr>
        <w:t xml:space="preserve">Description</w:t>
      </w:r>
    </w:p>
    <w:p>
      <w:pPr/>
      <w:r>
        <w:rPr/>
        <w:t xml:space="preserve">Préciser le mode de commercialisation des produits (direct, réseau commercial).</w:t>
      </w:r>
    </w:p>
    <w:p>
      <w:pPr/>
      <w:r>
        <w:rPr>
          <w:b/>
          <w:bCs/>
        </w:rPr>
        <w:t xml:space="preserve">Critères d'évaluation</w:t>
      </w:r>
    </w:p>
    <w:p>
      <w:pPr/>
      <w:r>
        <w:rPr/>
        <w:t xml:space="preserve">Conformité au Dossier technique.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5EB1D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78F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2F5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73D5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F0BD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B5FE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DD25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2CED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2026-06-19T13:32:44+02:00</dcterms:created>
  <dcterms:modified xsi:type="dcterms:W3CDTF">2026-06-19T13:32:44+02:00</dcterms:modified>
</cp:coreProperties>
</file>

<file path=docProps/custom.xml><?xml version="1.0" encoding="utf-8"?>
<Properties xmlns="http://schemas.openxmlformats.org/officeDocument/2006/custom-properties" xmlns:vt="http://schemas.openxmlformats.org/officeDocument/2006/docPropsVTypes"/>
</file>