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17.1 - Édité le 05/03/2026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17.1 « Réseaux et épuration / Epuration »</w:t>
      </w:r>
    </w:p>
    <w:p>
      <w:pPr/>
      <w:r>
        <w:rPr>
          <w:rStyle w:val="font_default"/>
        </w:rPr>
        <w:t xml:space="preserve">Famille de produits ou procédés : </w:t>
      </w:r>
      <w:r>
        <w:rPr>
          <w:rStyle w:val="font_h3"/>
        </w:rPr>
        <w:t xml:space="preserve">Composant de procédés d'assainissement autonome</w:t>
      </w:r>
    </w:p>
    <w:p>
      <w:pPr/>
      <w:r>
        <w:rPr>
          <w:rStyle w:val="font_h1"/>
        </w:rPr>
        <w:t xml:space="preserve">1. Généralités</w:t>
      </w:r>
    </w:p>
    <w:p>
      <w:pPr/>
      <w:r>
        <w:rPr/>
        <w:t xml:space="preserve">Validé par le Groupe Spécialisé le 18/09/2019</w:t>
      </w:r>
    </w:p>
    <w:p>
      <w:pPr/>
      <w:r>
        <w:rPr>
          <w:b/>
          <w:bCs/>
        </w:rPr>
        <w:t xml:space="preserve">Description</w:t>
      </w:r>
    </w:p>
    <w:p>
      <w:pPr/>
      <w:r>
        <w:rPr/>
        <w:t xml:space="preserve">Décrire le domaine d’emploi du produit, la matière et la rigidité annulaire le cas échéant.</w:t>
      </w:r>
    </w:p>
    <w:p>
      <w:pPr/>
      <w:r>
        <w:rPr>
          <w:i/>
          <w:iCs/>
        </w:rPr>
        <w:t xml:space="preserve">Pour les tubes, ex de rédaction</w:t>
      </w:r>
      <w:r>
        <w:rPr/>
        <w:t xml:space="preserve"> : « Le tube d'épandage et de collecte XXX est destiné à la réalisation de dispositifs d'assainissement autonome conformes aux préconisations de la norme NF DTU 64-1: Dispositifs d’assainissement non collectif (dit autonome) – pour les maisons d’habitation individuelle jusqu’à 20 pièces principales. XXX est un tube d'épandage et de collecte au sens de la norme NF DTU 64-1. Il est fabriqué en XXX par la société XXX, à partir de résine vierge ou recyclée en interne, puis commercialisé principalement par des négociants de matériaux de construction et grossistes spécialisés.La rigidité annulaire des tuves XXX est supérieure à XXX kN/m2. »</w:t>
      </w:r>
    </w:p>
    <w:p>
      <w:pPr/>
      <w:r>
        <w:rPr>
          <w:rStyle w:val="font_h1"/>
        </w:rPr>
        <w:t xml:space="preserve">2. Fabrication</w:t>
      </w:r>
    </w:p>
    <w:p>
      <w:pPr/>
      <w:r>
        <w:rPr/>
        <w:t xml:space="preserve">Validé par le Groupe Spécialisé le 18/09/2019</w:t>
      </w:r>
    </w:p>
    <w:p>
      <w:pPr/>
      <w:r>
        <w:rPr>
          <w:b/>
          <w:bCs/>
        </w:rPr>
        <w:t xml:space="preserve">Description</w:t>
      </w:r>
    </w:p>
    <w:p>
      <w:pPr/>
      <w:r>
        <w:rPr/>
        <w:t xml:space="preserve">Décrire le procédé de fabrication.</w:t>
      </w:r>
    </w:p>
    <w:p>
      <w:pPr/>
      <w:r>
        <w:rPr>
          <w:i/>
          <w:iCs/>
        </w:rPr>
        <w:t xml:space="preserve">Pour les tubes, par exemple :</w:t>
      </w:r>
    </w:p>
    <w:p>
      <w:pPr>
        <w:pPr/>
        <w:numPr>
          <w:ilvl w:val="0"/>
          <w:numId w:val="9"/>
        </w:numPr>
      </w:pPr>
      <w:r>
        <w:rPr/>
        <w:t xml:space="preserve">continu ou non, extrusion, compact, gradient de densité, multicouche…. </w:t>
      </w:r>
    </w:p>
    <w:p>
      <w:pPr>
        <w:pPr/>
        <w:numPr>
          <w:ilvl w:val="0"/>
          <w:numId w:val="9"/>
        </w:numPr>
      </w:pPr>
      <w:r>
        <w:rPr/>
        <w:t xml:space="preserve">Le procédé utilisé pour la réalisation des fentes.</w:t>
      </w:r>
    </w:p>
    <w:p>
      <w:pPr/>
      <w:r>
        <w:rPr>
          <w:b/>
          <w:bCs/>
        </w:rPr>
        <w:t xml:space="preserve">Justification</w:t>
      </w:r>
    </w:p>
    <w:p>
      <w:pPr/>
      <w:r>
        <w:rPr/>
        <w:t xml:space="preserve">Fournir le CPU</w:t>
      </w:r>
    </w:p>
    <w:p>
      <w:pPr/>
      <w:r>
        <w:rPr>
          <w:rStyle w:val="font_h1"/>
        </w:rPr>
        <w:t xml:space="preserve">3. Matières premières</w:t>
      </w:r>
    </w:p>
    <w:p>
      <w:pPr/>
      <w:r>
        <w:rPr/>
        <w:t xml:space="preserve">Validé par le Groupe Spécialisé le 18/09/2019</w:t>
      </w:r>
    </w:p>
    <w:p>
      <w:pPr/>
      <w:r>
        <w:rPr>
          <w:b/>
          <w:bCs/>
        </w:rPr>
        <w:t xml:space="preserve">Description</w:t>
      </w:r>
    </w:p>
    <w:p>
      <w:pPr/>
      <w:r>
        <w:rPr/>
        <w:t xml:space="preserve">Décrire la nature des matières, leur origine (vierge recyclé, interne, externe) et le mode d'incorporation dans la fabrication du produit</w:t>
      </w:r>
    </w:p>
    <w:p>
      <w:pPr/>
      <w:r>
        <w:rPr>
          <w:b/>
          <w:bCs/>
        </w:rPr>
        <w:t xml:space="preserve">Justification</w:t>
      </w:r>
    </w:p>
    <w:p>
      <w:pPr/>
      <w:r>
        <w:rPr/>
        <w:t xml:space="preserve">Fournir la recette des matières premières (dont pourcentage de vierge, recyclée interne et recyclée externe).Fournir la liste des fournisseurs de matières et/ou produits recyclés.Fournir les FDES.Fournir la justification des exigences établies dans les matières (par exemple, cahier des charges, certificats 3.1 selon la norme EN 10204, ...)Fournir CPU.En cas d'intégration de matière recyclée, justifier la composition du produit par essai infrarouge</w:t>
      </w:r>
    </w:p>
    <w:p>
      <w:pPr/>
      <w:r>
        <w:rPr>
          <w:rStyle w:val="font_h1"/>
        </w:rPr>
        <w:t xml:space="preserve">4. Description du produit</w:t>
      </w:r>
    </w:p>
    <w:p>
      <w:pPr>
        <w:ind w:left="720" w:right="0"/>
      </w:pPr>
      <w:r>
        <w:rPr>
          <w:rStyle w:val="font_h2"/>
        </w:rPr>
        <w:t xml:space="preserve">4.1. Aspect et couleur</w:t>
      </w:r>
    </w:p>
    <w:p>
      <w:pPr/>
      <w:r>
        <w:rPr/>
        <w:t xml:space="preserve">Validé par le Groupe Spécialisé le 18/09/2019</w:t>
      </w:r>
    </w:p>
    <w:p>
      <w:pPr/>
      <w:r>
        <w:rPr>
          <w:b/>
          <w:bCs/>
        </w:rPr>
        <w:t xml:space="preserve">Description</w:t>
      </w:r>
    </w:p>
    <w:p>
      <w:pPr/>
      <w:r>
        <w:rPr/>
        <w:t xml:space="preserve">Décrire l’aspect et la couleur du produit.</w:t>
      </w:r>
      <w:br/>
      <w:r>
        <w:rPr>
          <w:i/>
          <w:iCs/>
        </w:rPr>
        <w:t xml:space="preserve">Pour les tubes :</w:t>
      </w:r>
      <w:r>
        <w:rPr/>
        <w:t xml:space="preserve"> La surface des drains doit être exempte de défauts tels que bulles, rayures, inclusions pouvant nuire à leurs usages.</w:t>
      </w:r>
    </w:p>
    <w:p>
      <w:pPr>
        <w:ind w:left="720" w:right="0"/>
      </w:pPr>
      <w:r>
        <w:rPr>
          <w:rStyle w:val="font_h2"/>
        </w:rPr>
        <w:t xml:space="preserve">4.2. Dimensions</w:t>
      </w:r>
    </w:p>
    <w:p>
      <w:pPr/>
      <w:r>
        <w:rPr/>
        <w:t xml:space="preserve">Validé par le Groupe Spécialisé le 18/09/2019</w:t>
      </w:r>
    </w:p>
    <w:p>
      <w:pPr/>
      <w:r>
        <w:rPr>
          <w:b/>
          <w:bCs/>
        </w:rPr>
        <w:t xml:space="preserve">Description</w:t>
      </w:r>
    </w:p>
    <w:p>
      <w:pPr/>
      <w:r>
        <w:rPr/>
        <w:t xml:space="preserve">Décrire les dimensions du produit avec leurs tolérances.</w:t>
      </w:r>
      <w:r>
        <w:rPr>
          <w:i/>
          <w:iCs/>
        </w:rPr>
        <w:t xml:space="preserve">Pour les tubes :</w:t>
      </w:r>
      <w:r>
        <w:rPr/>
        <w:t xml:space="preserve"> </w:t>
      </w:r>
    </w:p>
    <w:p>
      <w:pPr>
        <w:pPr/>
        <w:numPr>
          <w:ilvl w:val="0"/>
          <w:numId w:val="10"/>
        </w:numPr>
      </w:pPr>
      <w:r>
        <w:rPr/>
        <w:t xml:space="preserve">Longueur utile</w:t>
      </w:r>
    </w:p>
    <w:p>
      <w:pPr>
        <w:pPr/>
        <w:numPr>
          <w:ilvl w:val="0"/>
          <w:numId w:val="10"/>
        </w:numPr>
      </w:pPr>
      <w:r>
        <w:rPr/>
        <w:t xml:space="preserve">Longueur totale</w:t>
      </w:r>
    </w:p>
    <w:p>
      <w:pPr>
        <w:pPr/>
        <w:numPr>
          <w:ilvl w:val="0"/>
          <w:numId w:val="10"/>
        </w:numPr>
      </w:pPr>
      <w:r>
        <w:rPr/>
        <w:t xml:space="preserve">Diamètre extérieur</w:t>
      </w:r>
    </w:p>
    <w:p>
      <w:pPr>
        <w:pPr/>
        <w:numPr>
          <w:ilvl w:val="0"/>
          <w:numId w:val="10"/>
        </w:numPr>
      </w:pPr>
      <w:r>
        <w:rPr/>
        <w:t xml:space="preserve">Ovalisation </w:t>
      </w:r>
    </w:p>
    <w:p>
      <w:pPr>
        <w:pPr/>
        <w:numPr>
          <w:ilvl w:val="0"/>
          <w:numId w:val="10"/>
        </w:numPr>
      </w:pPr>
      <w:r>
        <w:rPr/>
        <w:t xml:space="preserve">Epaisseur de paroi (minimale)</w:t>
      </w:r>
    </w:p>
    <w:p>
      <w:pPr>
        <w:pPr/>
        <w:numPr>
          <w:ilvl w:val="0"/>
          <w:numId w:val="10"/>
        </w:numPr>
      </w:pPr>
      <w:r>
        <w:rPr/>
        <w:t xml:space="preserve">Longueur d'emboîture </w:t>
      </w:r>
    </w:p>
    <w:p>
      <w:pPr>
        <w:pPr/>
        <w:numPr>
          <w:ilvl w:val="0"/>
          <w:numId w:val="10"/>
        </w:numPr>
      </w:pPr>
      <w:r>
        <w:rPr/>
        <w:t xml:space="preserve">Diamètre intérieur moyen de l'emboîture </w:t>
      </w:r>
    </w:p>
    <w:p>
      <w:pPr>
        <w:pPr/>
        <w:numPr>
          <w:ilvl w:val="0"/>
          <w:numId w:val="10"/>
        </w:numPr>
      </w:pPr>
      <w:r>
        <w:rPr/>
        <w:t xml:space="preserve">Masse linéaire</w:t>
      </w:r>
    </w:p>
    <w:p>
      <w:pPr>
        <w:pPr/>
        <w:numPr>
          <w:ilvl w:val="0"/>
          <w:numId w:val="10"/>
        </w:numPr>
      </w:pPr>
      <w:r>
        <w:rPr/>
        <w:t xml:space="preserve">Dimensions des fentes ainsi que leur répartition autour du tube, et surface totale de perforation du tube.Pour les fentes, leur géométrie doit respecter les spécifications de la norme NF DTU 64.1 P1-2. Elles sont réalisées de  façon à éviter une amorce de cassure et sans laisser subsister de bavures résiduelles.</w:t>
      </w:r>
    </w:p>
    <w:p>
      <w:pPr/>
      <w:r>
        <w:rPr>
          <w:b/>
          <w:bCs/>
        </w:rPr>
        <w:t xml:space="preserve">Justification</w:t>
      </w:r>
    </w:p>
    <w:p>
      <w:pPr/>
      <w:r>
        <w:rPr/>
        <w:t xml:space="preserve">Fournir un rapport d'essais dimensionnels.Fournir un schéma coté du produit.</w:t>
      </w:r>
    </w:p>
    <w:p>
      <w:pPr>
        <w:ind w:left="720" w:right="0"/>
      </w:pPr>
      <w:r>
        <w:rPr>
          <w:rStyle w:val="font_h2"/>
        </w:rPr>
        <w:t xml:space="preserve">4.3. Jonctions</w:t>
      </w:r>
    </w:p>
    <w:p>
      <w:pPr/>
      <w:r>
        <w:rPr/>
        <w:t xml:space="preserve">Validé par le Groupe Spécialisé le 18/09/2019</w:t>
      </w:r>
    </w:p>
    <w:p>
      <w:pPr/>
      <w:r>
        <w:rPr>
          <w:b/>
          <w:bCs/>
        </w:rPr>
        <w:t xml:space="preserve">Description</w:t>
      </w:r>
    </w:p>
    <w:p>
      <w:pPr/>
      <w:r>
        <w:rPr/>
        <w:t xml:space="preserve">Préciser le mode d’assemblage des produits (type d'emboîtement, collage, manchon).</w:t>
      </w:r>
    </w:p>
    <w:p>
      <w:pPr>
        <w:ind w:left="720" w:right="0"/>
      </w:pPr>
      <w:r>
        <w:rPr>
          <w:rStyle w:val="font_h2"/>
        </w:rPr>
        <w:t xml:space="preserve">4.4. Accessoires</w:t>
      </w:r>
    </w:p>
    <w:p>
      <w:pPr/>
      <w:r>
        <w:rPr/>
        <w:t xml:space="preserve">Validé par le Groupe Spécialisé le 18/09/2019</w:t>
      </w:r>
    </w:p>
    <w:p>
      <w:pPr/>
      <w:r>
        <w:rPr>
          <w:b/>
          <w:bCs/>
        </w:rPr>
        <w:t xml:space="preserve">Description</w:t>
      </w:r>
    </w:p>
    <w:p>
      <w:pPr/>
      <w:r>
        <w:rPr/>
        <w:t xml:space="preserve">Décrire les accessoires.Les accessoires (coudes, manchons, boîtes de branchements, tés…) doivent être conformes à la norme NF EN 1329-1. Ils doivent être compatibles avec le produit.La rigidité des accessoires doit avoir une valeur a minima identique aux tubes.</w:t>
      </w:r>
    </w:p>
    <w:p>
      <w:pPr/>
      <w:r>
        <w:rPr>
          <w:b/>
          <w:bCs/>
        </w:rPr>
        <w:t xml:space="preserve">Justification</w:t>
      </w:r>
    </w:p>
    <w:p>
      <w:pPr/>
      <w:r>
        <w:rPr/>
        <w:t xml:space="preserve">Fournir fiches techniques des accessoires et schémas cotés.Fournir fiches techniques des équipements permettant l'assemblage des accessoires avec le produit (colle, fixations).</w:t>
      </w:r>
    </w:p>
    <w:p>
      <w:pPr/>
      <w:r>
        <w:rPr>
          <w:rStyle w:val="font_h1"/>
        </w:rPr>
        <w:t xml:space="preserve">5. Caractéristiques physiques, mécaniques et chimiques</w:t>
      </w:r>
    </w:p>
    <w:p>
      <w:pPr>
        <w:ind w:left="720" w:right="0"/>
      </w:pPr>
      <w:r>
        <w:rPr>
          <w:rStyle w:val="font_h2"/>
        </w:rPr>
        <w:t xml:space="preserve">5.1. Généralités</w:t>
      </w:r>
    </w:p>
    <w:p>
      <w:pPr/>
      <w:r>
        <w:rPr/>
        <w:t xml:space="preserve">Validé par le Groupe Spécialisé le 19/11/2019</w:t>
      </w:r>
    </w:p>
    <w:p>
      <w:pPr/>
      <w:r>
        <w:rPr>
          <w:b/>
          <w:bCs/>
        </w:rPr>
        <w:t xml:space="preserve">Description</w:t>
      </w:r>
    </w:p>
    <w:p>
      <w:pPr/>
      <w:r>
        <w:rPr/>
        <w:t xml:space="preserve">Décrire les caractéristiques physiques, mécaniques et chimiques en fonction du type de produit, de son domaine d'emploi et de sa composition.</w:t>
      </w:r>
    </w:p>
    <w:p>
      <w:pPr/>
      <w:r>
        <w:rPr>
          <w:b/>
          <w:bCs/>
        </w:rPr>
        <w:t xml:space="preserve">Justification</w:t>
      </w:r>
    </w:p>
    <w:p>
      <w:pPr/>
      <w:r>
        <w:rPr/>
        <w:t xml:space="preserve">− Constance de la qualité des matières premières : certificat de type 3.1 selon la norme EN 10204 ou essais internes.</w:t>
      </w:r>
    </w:p>
    <w:p>
      <w:pPr/>
      <w:r>
        <w:rPr/>
        <w:t xml:space="preserve">− Le demandeur doit justifier de la durabilité de son produit jusqu’à 50 ans en relation avec la durabilité des ouvrages d’assainissement.</w:t>
      </w:r>
    </w:p>
    <w:p>
      <w:pPr/>
      <w:r>
        <w:rPr>
          <w:b/>
          <w:bCs/>
        </w:rPr>
        <w:t xml:space="preserve">Critères d'évaluation</w:t>
      </w:r>
    </w:p>
    <w:p>
      <w:pPr/>
      <w:r>
        <w:rPr/>
        <w:t xml:space="preserve">Justification par essai type de durabilité de résistance à la pression interne sur produit fini (notamment contenant des matières recyclées) devra être donnée selon la norme NF EN ISO 1167.</w:t>
      </w:r>
    </w:p>
    <w:p>
      <w:pPr>
        <w:ind w:left="720" w:right="0"/>
      </w:pPr>
      <w:r>
        <w:rPr>
          <w:rStyle w:val="font_h2"/>
        </w:rPr>
        <w:t xml:space="preserve">5.2. Caractéristiques physiques</w:t>
      </w:r>
    </w:p>
    <w:p>
      <w:pPr/>
      <w:r>
        <w:rPr/>
        <w:t xml:space="preserve">Validé par le Groupe Spécialisé le 27/08/2025</w:t>
      </w:r>
    </w:p>
    <w:p>
      <w:pPr/>
      <w:r>
        <w:rPr>
          <w:b/>
          <w:bCs/>
        </w:rPr>
        <w:t xml:space="preserve">Description</w:t>
      </w:r>
    </w:p>
    <w:p>
      <w:pPr/>
      <w:r>
        <w:rPr/>
        <w:t xml:space="preserve">Décrire les caractéristiques physiques du produit.</w:t>
      </w:r>
    </w:p>
    <w:p>
      <w:pPr>
        <w:pPr/>
        <w:numPr>
          <w:ilvl w:val="0"/>
          <w:numId w:val="11"/>
        </w:numPr>
      </w:pPr>
      <w:r>
        <w:rPr/>
        <w:t xml:space="preserve">Pour les tubes, les caractéristiques qui doivent figurer dans le dossier technique sont les suivantes :</w:t>
      </w:r>
    </w:p>
    <w:p>
      <w:pPr>
        <w:pPr/>
        <w:numPr>
          <w:ilvl w:val="1"/>
          <w:numId w:val="11"/>
        </w:numPr>
      </w:pPr>
      <w:r>
        <w:rPr/>
        <w:t xml:space="preserve">T° de ramollissement VICAT (NF EN 727)</w:t>
      </w:r>
    </w:p>
    <w:p>
      <w:pPr>
        <w:pPr/>
        <w:numPr>
          <w:ilvl w:val="1"/>
          <w:numId w:val="11"/>
        </w:numPr>
      </w:pPr>
      <w:r>
        <w:rPr/>
        <w:t xml:space="preserve">Masse volumique (NF EN ISO 1183)</w:t>
      </w:r>
    </w:p>
    <w:p>
      <w:pPr>
        <w:pPr/>
        <w:numPr>
          <w:ilvl w:val="1"/>
          <w:numId w:val="11"/>
        </w:numPr>
      </w:pPr>
      <w:r>
        <w:rPr/>
        <w:t xml:space="preserve">Résistance en traction (NF EN 6259-1)</w:t>
      </w:r>
    </w:p>
    <w:p>
      <w:pPr>
        <w:pPr/>
        <w:numPr>
          <w:ilvl w:val="1"/>
          <w:numId w:val="11"/>
        </w:numPr>
      </w:pPr>
      <w:r>
        <w:rPr/>
        <w:t xml:space="preserve">Résistance à la pression interne à 60°C (NF EN ISO 1167-1 et NF EN ISO 1167-2, conditions : Type A, 3MPa, 1000h, 60°C )</w:t>
      </w:r>
    </w:p>
    <w:p>
      <w:pPr>
        <w:pPr/>
        <w:numPr>
          <w:ilvl w:val="1"/>
          <w:numId w:val="11"/>
        </w:numPr>
      </w:pPr>
      <w:r>
        <w:rPr/>
        <w:t xml:space="preserve">Dans le cas de tubes non perforés étanchéité à l’eau (NF EN 1053)</w:t>
      </w:r>
    </w:p>
    <w:p>
      <w:pPr>
        <w:pPr/>
        <w:numPr>
          <w:ilvl w:val="1"/>
          <w:numId w:val="11"/>
        </w:numPr>
      </w:pPr>
      <w:r>
        <w:rPr/>
        <w:t xml:space="preserve">Dans le cas des tubes non perforés retrait longitudinal (NF EN ISO 2505)</w:t>
      </w:r>
    </w:p>
    <w:p>
      <w:pPr>
        <w:pPr/>
        <w:numPr>
          <w:ilvl w:val="0"/>
          <w:numId w:val="11"/>
        </w:numPr>
      </w:pPr>
      <w:r>
        <w:rPr/>
        <w:t xml:space="preserve">Pour les raccords : certifiés NF055 ou caractéristiques équivalentes aux exigences des normes produits visées par la NF055</w:t>
      </w:r>
    </w:p>
    <w:p>
      <w:pPr/>
      <w:r>
        <w:rPr>
          <w:b/>
          <w:bCs/>
        </w:rPr>
        <w:t xml:space="preserve">Justification</w:t>
      </w:r>
    </w:p>
    <w:p>
      <w:pPr/>
      <w:r>
        <w:rPr/>
        <w:t xml:space="preserve">Fournir rapport d'essais</w:t>
      </w:r>
    </w:p>
    <w:p>
      <w:pPr/>
      <w:r>
        <w:rPr>
          <w:b/>
          <w:bCs/>
        </w:rPr>
        <w:t xml:space="preserve">Critères d'évaluation</w:t>
      </w:r>
    </w:p>
    <w:p>
      <w:pPr>
        <w:pPr/>
        <w:numPr>
          <w:ilvl w:val="0"/>
          <w:numId w:val="12"/>
        </w:numPr>
      </w:pPr>
      <w:r>
        <w:rPr/>
        <w:t xml:space="preserve">T° de ramollissement VICAT (NF EN 727) : ≥ 79°C</w:t>
      </w:r>
    </w:p>
    <w:p>
      <w:pPr>
        <w:pPr/>
        <w:numPr>
          <w:ilvl w:val="0"/>
          <w:numId w:val="12"/>
        </w:numPr>
      </w:pPr>
      <w:r>
        <w:rPr/>
        <w:t xml:space="preserve">Résistance en traction (NF EN 6259-1) : σ ≥ 20 MPa</w:t>
      </w:r>
    </w:p>
    <w:p>
      <w:pPr>
        <w:pPr/>
        <w:numPr>
          <w:ilvl w:val="0"/>
          <w:numId w:val="12"/>
        </w:numPr>
      </w:pPr>
      <w:r>
        <w:rPr/>
        <w:t xml:space="preserve">Résistance à la pression interne à 60°C (NF EN ISO 1167-1 et NF EN ISO 1167-2, conditions : Type A, 3MPa, 1000h, 60°C ) : absence de rupture </w:t>
      </w:r>
    </w:p>
    <w:p>
      <w:pPr>
        <w:pPr/>
        <w:numPr>
          <w:ilvl w:val="0"/>
          <w:numId w:val="12"/>
        </w:numPr>
      </w:pPr>
      <w:r>
        <w:rPr/>
        <w:t xml:space="preserve">Dans le cas de tubes non perforés étanchéité à l’eau (NF EN 1053) : aucune fuite</w:t>
      </w:r>
    </w:p>
    <w:p>
      <w:pPr>
        <w:pPr/>
        <w:numPr>
          <w:ilvl w:val="0"/>
          <w:numId w:val="12"/>
        </w:numPr>
      </w:pPr>
      <w:r>
        <w:rPr/>
        <w:t xml:space="preserve">Dans le cas des tubes non perforés retrait longitudinal (NF EN ISO 2505) : ≤ 5%</w:t>
      </w:r>
    </w:p>
    <w:p>
      <w:pPr>
        <w:ind w:left="720" w:right="0"/>
      </w:pPr>
      <w:r>
        <w:rPr>
          <w:rStyle w:val="font_h2"/>
        </w:rPr>
        <w:t xml:space="preserve">5.3. Caractéristiques mécaniques</w:t>
      </w:r>
    </w:p>
    <w:p>
      <w:pPr>
        <w:ind w:left="1440" w:right="0"/>
      </w:pPr>
      <w:r>
        <w:rPr>
          <w:rStyle w:val="font_h3"/>
        </w:rPr>
        <w:t xml:space="preserve">5.3.1. Rigidité annulaire</w:t>
      </w:r>
    </w:p>
    <w:p>
      <w:pPr/>
      <w:r>
        <w:rPr/>
        <w:t xml:space="preserve">Validé par le Groupe Spécialisé le 18/09/2019</w:t>
      </w:r>
    </w:p>
    <w:p>
      <w:pPr/>
      <w:r>
        <w:rPr>
          <w:b/>
          <w:bCs/>
        </w:rPr>
        <w:t xml:space="preserve">Description</w:t>
      </w:r>
    </w:p>
    <w:p>
      <w:pPr/>
      <w:r>
        <w:rPr/>
        <w:t xml:space="preserve">Indiquer la rigidité annulaire selon NF EN ISO 9969</w:t>
      </w:r>
    </w:p>
    <w:p>
      <w:pPr/>
      <w:r>
        <w:rPr>
          <w:b/>
          <w:bCs/>
        </w:rPr>
        <w:t xml:space="preserve">Justification</w:t>
      </w:r>
    </w:p>
    <w:p>
      <w:pPr/>
      <w:r>
        <w:rPr/>
        <w:t xml:space="preserve">Fournir rapport d'essais</w:t>
      </w:r>
    </w:p>
    <w:p>
      <w:pPr/>
      <w:r>
        <w:rPr>
          <w:b/>
          <w:bCs/>
        </w:rPr>
        <w:t xml:space="preserve">Critères d'évaluation</w:t>
      </w:r>
    </w:p>
    <w:p>
      <w:pPr/>
      <w:r>
        <w:rPr/>
        <w:t xml:space="preserve">Rigidité annulaire (NF EN ISO 9969) : ≥4 kN/m2</w:t>
      </w:r>
    </w:p>
    <w:p>
      <w:pPr>
        <w:ind w:left="1440" w:right="0"/>
      </w:pPr>
      <w:r>
        <w:rPr>
          <w:rStyle w:val="font_h3"/>
        </w:rPr>
        <w:t xml:space="preserve">5.3.2. Résistance aux chocs</w:t>
      </w:r>
    </w:p>
    <w:p>
      <w:pPr/>
      <w:r>
        <w:rPr/>
        <w:t xml:space="preserve">Validé par le Groupe Spécialisé le 18/09/2019</w:t>
      </w:r>
    </w:p>
    <w:p>
      <w:pPr/>
      <w:r>
        <w:rPr>
          <w:b/>
          <w:bCs/>
        </w:rPr>
        <w:t xml:space="preserve">Description</w:t>
      </w:r>
    </w:p>
    <w:p>
      <w:pPr/>
      <w:r>
        <w:rPr/>
        <w:t xml:space="preserve">Indiquer la résistance aux chocs du produit.</w:t>
      </w:r>
      <w:r>
        <w:rPr>
          <w:i/>
          <w:iCs/>
        </w:rPr>
        <w:t xml:space="preserve">Pour les tubes, ex de rédaction:</w:t>
      </w:r>
      <w:r>
        <w:rPr/>
        <w:t xml:space="preserve"> "Le PRR (Pourcentage Réel de Rupture) des tubes xxx est inférieur à 10 % lorsque déterminé conformément à la norme  NF EN 744 et dans les conditions suivantes :</w:t>
      </w:r>
      <w:br/>
      <w:r>
        <w:rPr/>
        <w:t xml:space="preserve">Température de conditionnement : 0 °CType de conditionnement : eauPercuteur : D 25Hauteur de chute du percuteur : 2000 mm et Masse du percuteur : 350 gNota : pour les tubes perforés les chocs sont effectués sur la partie supérieure du tube (partie n’ayant pas de fentes) et à moins de 5 cm d'une fente. Pour les tubes non-perforés, les chocs sont réalisés selon la norme NF EN 744."</w:t>
      </w:r>
    </w:p>
    <w:p>
      <w:pPr/>
      <w:r>
        <w:rPr>
          <w:b/>
          <w:bCs/>
        </w:rPr>
        <w:t xml:space="preserve">Justification</w:t>
      </w:r>
    </w:p>
    <w:p>
      <w:pPr/>
      <w:r>
        <w:rPr/>
        <w:t xml:space="preserve">Fournir rapport d'essais</w:t>
      </w:r>
    </w:p>
    <w:p>
      <w:pPr>
        <w:ind w:left="1440" w:right="0"/>
      </w:pPr>
      <w:r>
        <w:rPr>
          <w:rStyle w:val="font_h3"/>
        </w:rPr>
        <w:t xml:space="preserve">5.3.3. Taux de fluage</w:t>
      </w:r>
    </w:p>
    <w:p>
      <w:pPr/>
      <w:r>
        <w:rPr/>
        <w:t xml:space="preserve">Validé par le Groupe Spécialisé le 18/09/2019</w:t>
      </w:r>
    </w:p>
    <w:p>
      <w:pPr/>
      <w:r>
        <w:rPr>
          <w:b/>
          <w:bCs/>
        </w:rPr>
        <w:t xml:space="preserve">Description</w:t>
      </w:r>
    </w:p>
    <w:p>
      <w:pPr/>
      <w:r>
        <w:rPr/>
        <w:t xml:space="preserve">Indiquer le taux de fluage du produit.</w:t>
      </w:r>
      <w:r>
        <w:rPr>
          <w:i/>
          <w:iCs/>
        </w:rPr>
        <w:t xml:space="preserve">Pour les tubes en matières thermoplastiques:</w:t>
      </w:r>
      <w:r>
        <w:rPr/>
        <w:t xml:space="preserve">taux de fluage selon NF EN ISO 9967</w:t>
      </w:r>
    </w:p>
    <w:p>
      <w:pPr/>
      <w:r>
        <w:rPr>
          <w:b/>
          <w:bCs/>
        </w:rPr>
        <w:t xml:space="preserve">Justification</w:t>
      </w:r>
    </w:p>
    <w:p>
      <w:pPr/>
      <w:r>
        <w:rPr/>
        <w:t xml:space="preserve">Fournir rapport d'essais</w:t>
      </w:r>
    </w:p>
    <w:p>
      <w:pPr/>
      <w:r>
        <w:rPr>
          <w:b/>
          <w:bCs/>
        </w:rPr>
        <w:t xml:space="preserve">Critères d'évaluation</w:t>
      </w:r>
    </w:p>
    <w:p>
      <w:pPr/>
      <w:r>
        <w:rPr>
          <w:i/>
          <w:iCs/>
        </w:rPr>
        <w:t xml:space="preserve">Pour les tubes en PVC:</w:t>
      </w:r>
      <w:r>
        <w:rPr/>
        <w:t xml:space="preserve">taux de fluage selon NF EN ISO 9967 : ≤ 2,5</w:t>
      </w:r>
    </w:p>
    <w:p>
      <w:pPr>
        <w:ind w:left="720" w:right="0"/>
      </w:pPr>
      <w:r>
        <w:rPr>
          <w:rStyle w:val="font_h2"/>
        </w:rPr>
        <w:t xml:space="preserve">5.4. Caractéristiques chimiques</w:t>
      </w:r>
    </w:p>
    <w:p>
      <w:pPr/>
      <w:r>
        <w:rPr/>
        <w:t xml:space="preserve">Validé par le Groupe Spécialisé le 18/09/2019</w:t>
      </w:r>
    </w:p>
    <w:p>
      <w:pPr/>
      <w:r>
        <w:rPr>
          <w:b/>
          <w:bCs/>
        </w:rPr>
        <w:t xml:space="preserve">Description</w:t>
      </w:r>
    </w:p>
    <w:p>
      <w:pPr/>
      <w:r>
        <w:rPr/>
        <w:t xml:space="preserve">Indiquer la compatibilité de la matière du produit avec la nature des effluents.</w:t>
      </w:r>
    </w:p>
    <w:p>
      <w:pPr/>
      <w:r>
        <w:rPr>
          <w:b/>
          <w:bCs/>
        </w:rPr>
        <w:t xml:space="preserve">Critères d'évaluation</w:t>
      </w:r>
    </w:p>
    <w:p>
      <w:pPr/>
      <w:r>
        <w:rPr/>
        <w:t xml:space="preserve">Le cas échéant, conformité avec la norme NF DTU 64.1.</w:t>
      </w:r>
    </w:p>
    <w:p>
      <w:pPr/>
      <w:r>
        <w:rPr>
          <w:rStyle w:val="font_h1"/>
        </w:rPr>
        <w:t xml:space="preserve">6. Marquage</w:t>
      </w:r>
    </w:p>
    <w:p>
      <w:pPr/>
      <w:r>
        <w:rPr/>
        <w:t xml:space="preserve">Validé par le Groupe Spécialisé le 18/09/2019</w:t>
      </w:r>
    </w:p>
    <w:p>
      <w:pPr/>
      <w:r>
        <w:rPr>
          <w:b/>
          <w:bCs/>
        </w:rPr>
        <w:t xml:space="preserve">Description</w:t>
      </w:r>
    </w:p>
    <w:p>
      <w:pPr/>
      <w:r>
        <w:rPr/>
        <w:t xml:space="preserve">Le fabricant s'engage à rendre l'identification conforme aux indications définies dans l'Avis Technique.Préciser où est localisé la marquage du produit et son contenu.</w:t>
      </w:r>
    </w:p>
    <w:p>
      <w:pPr/>
      <w:r>
        <w:rPr>
          <w:b/>
          <w:bCs/>
        </w:rPr>
        <w:t xml:space="preserve">Justification</w:t>
      </w:r>
    </w:p>
    <w:p>
      <w:pPr/>
      <w:r>
        <w:rPr/>
        <w:t xml:space="preserve">Fournir un exemple de marquage</w:t>
      </w:r>
    </w:p>
    <w:p>
      <w:pPr/>
      <w:r>
        <w:rPr>
          <w:rStyle w:val="font_h1"/>
        </w:rPr>
        <w:t xml:space="preserve">7. Commercialisation</w:t>
      </w:r>
    </w:p>
    <w:p>
      <w:pPr/>
      <w:r>
        <w:rPr/>
        <w:t xml:space="preserve">Validé par le Groupe Spécialisé le 18/09/2019</w:t>
      </w:r>
    </w:p>
    <w:p>
      <w:pPr/>
      <w:r>
        <w:rPr>
          <w:b/>
          <w:bCs/>
        </w:rPr>
        <w:t xml:space="preserve">Description</w:t>
      </w:r>
    </w:p>
    <w:p>
      <w:pPr/>
      <w:r>
        <w:rPr/>
        <w:t xml:space="preserve">Décrire le mode de commercialisation des produits.</w:t>
      </w:r>
      <w:r>
        <w:rPr>
          <w:i/>
          <w:iCs/>
        </w:rPr>
        <w:t xml:space="preserve">ex de rédaction:</w:t>
      </w:r>
      <w:r>
        <w:rPr/>
        <w:t xml:space="preserve"> Les produits sont commercialisés principalement par des négociantsde matériaux de construction et grossistes spécialisés.</w:t>
      </w:r>
    </w:p>
    <w:p>
      <w:pPr/>
      <w:r>
        <w:rPr>
          <w:rStyle w:val="font_h1"/>
        </w:rPr>
        <w:t xml:space="preserve">8. Conditionnement et stockage</w:t>
      </w:r>
    </w:p>
    <w:p>
      <w:pPr/>
      <w:r>
        <w:rPr/>
        <w:t xml:space="preserve">Validé par le Groupe Spécialisé le 10/01/2022</w:t>
      </w:r>
    </w:p>
    <w:p>
      <w:pPr/>
      <w:r>
        <w:rPr>
          <w:b/>
          <w:bCs/>
        </w:rPr>
        <w:t xml:space="preserve">Description</w:t>
      </w:r>
    </w:p>
    <w:p>
      <w:pPr/>
      <w:r>
        <w:rPr/>
        <w:t xml:space="preserve">Indiquer les conditions de conditionnement et de stockage des produits.Indiquer la durée maximale de stockage et les préconisations associées (exposition aux UV, empilement, stockage intérieur).</w:t>
      </w:r>
    </w:p>
    <w:p>
      <w:pPr/>
      <w:r>
        <w:rPr>
          <w:b/>
          <w:bCs/>
        </w:rPr>
        <w:t xml:space="preserve">Justification</w:t>
      </w:r>
    </w:p>
    <w:p>
      <w:pPr/>
      <w:r>
        <w:rPr/>
        <w:t xml:space="preserve">Justifier de la conservation des performances du produit après stockage selon leurs préconisations (CR du GS 17.1 du 08/06/2021)Fournir un rapport d'essai de vieillissement (CR du GS 17.1 du 08/10/2021)</w:t>
      </w:r>
    </w:p>
    <w:p>
      <w:pPr/>
      <w:r>
        <w:rPr>
          <w:b/>
          <w:bCs/>
        </w:rPr>
        <w:t xml:space="preserve">Critères d'évaluation</w:t>
      </w:r>
    </w:p>
    <w:p>
      <w:pPr/>
      <w:r>
        <w:rPr/>
        <w:t xml:space="preserve">L’essai sera réalisé en plein soleil sur 10 tubes cerclés horizontaux, 5 non cerclés horizontaux, 5 non cerclés verticaux, et à l’ombre sur 5 tubes horizontaux non cerclés.</w:t>
      </w:r>
    </w:p>
    <w:p>
      <w:pPr/>
      <w:r>
        <w:rPr/>
        <w:t xml:space="preserve">Des mesures de déformation du tube (flèche) et des photographies seront faites à 24h, 1, 6 et 12 mois. Les températures observées chaque mois seront enregistrées pour information.La flèche longitudinale des tubes après refroidissement doit être régulièrement contrôlée et le seuil d’acceptation (comparable à un tube traditionnel) doit être défini (CR du GS 17.1 du 08/10/2021).</w:t>
      </w:r>
    </w:p>
    <w:p>
      <w:pPr/>
      <w:r>
        <w:rPr/>
        <w:t xml:space="preserve">Un essai de vieillissement accéléré en conditions maîtrisées simulant la durée totale de stockage revendiquée dans le dossier doit être effectué. Des essais mécaniques devront être réalisés avant et après cet essai afin de déterminer si les performances du produit sont conservées (CR du GS 17.1 du 08/10/2021).</w:t>
      </w:r>
    </w:p>
    <w:p>
      <w:pPr/>
      <w:r>
        <w:rPr/>
        <w:t xml:space="preserve">La conception du conditionnement des tubes doit assurer l’appui plan des tubes. La distance entre les cadres du conditionnement des tubes doit être constante afin d’assurer la superposition correcte des palettes. (CR du GS 17.1 du 08/10/2021).</w:t>
      </w:r>
    </w:p>
    <w:p>
      <w:pPr/>
      <w:r>
        <w:rPr>
          <w:rStyle w:val="font_h1"/>
        </w:rPr>
        <w:t xml:space="preserve">9. Entretien</w:t>
      </w:r>
    </w:p>
    <w:p>
      <w:pPr/>
      <w:r>
        <w:rPr/>
        <w:t xml:space="preserve">Validé par le Groupe Spécialisé le 18/09/2019</w:t>
      </w:r>
    </w:p>
    <w:p>
      <w:pPr/>
      <w:r>
        <w:rPr>
          <w:b/>
          <w:bCs/>
        </w:rPr>
        <w:t xml:space="preserve">Description</w:t>
      </w:r>
    </w:p>
    <w:p>
      <w:pPr/>
      <w:r>
        <w:rPr/>
        <w:t xml:space="preserve">Indiquer les conditions d’entretien des produits.</w:t>
      </w:r>
      <w:r>
        <w:rPr>
          <w:i/>
          <w:iCs/>
        </w:rPr>
        <w:t xml:space="preserve">Pour les tubes, ex de rédaction:</w:t>
      </w:r>
      <w:r>
        <w:rPr/>
        <w:t xml:space="preserve">"Sous réserve de mise en œuvre conforme (notamment respect des niveaux de pente), le produit XXX ne nécessite pas d’entretien spécifique. Le curage de l’installation doit être réalisé selon les exigences de la norme NF DTU 64.1."</w:t>
      </w:r>
    </w:p>
    <w:p>
      <w:pPr/>
      <w:r>
        <w:rPr>
          <w:b/>
          <w:bCs/>
        </w:rPr>
        <w:t xml:space="preserve">Justification</w:t>
      </w:r>
    </w:p>
    <w:p>
      <w:pPr/>
      <w:r>
        <w:rPr/>
        <w:t xml:space="preserve">Fournir le guide d'exploitation.Le cas échéant, justification de la tenue du produit à l'hydrocurage (à confirmer avec l'instructeur).</w:t>
      </w:r>
    </w:p>
    <w:p>
      <w:pPr/>
      <w:r>
        <w:rPr>
          <w:rStyle w:val="font_h1"/>
        </w:rPr>
        <w:t xml:space="preserve">10. Système qualité – contrôles internes</w:t>
      </w:r>
    </w:p>
    <w:p>
      <w:pPr>
        <w:ind w:left="720" w:right="0"/>
      </w:pPr>
      <w:r>
        <w:rPr>
          <w:rStyle w:val="font_h2"/>
        </w:rPr>
        <w:t xml:space="preserve">10.1. Généralités</w:t>
      </w:r>
    </w:p>
    <w:p>
      <w:pPr/>
      <w:r>
        <w:rPr/>
        <w:t xml:space="preserve">Validé par le Groupe Spécialisé le 18/09/2019</w:t>
      </w:r>
    </w:p>
    <w:p>
      <w:pPr/>
      <w:r>
        <w:rPr>
          <w:b/>
          <w:bCs/>
        </w:rPr>
        <w:t xml:space="preserve">Description</w:t>
      </w:r>
    </w:p>
    <w:p>
      <w:pPr/>
      <w:r>
        <w:rPr/>
        <w:t xml:space="preserve">Préciser si le système de management de la qualité mis en place dans l'usine de production est certifié conformément à la norme NF EN ISO 9001 : 2015.</w:t>
      </w:r>
    </w:p>
    <w:p>
      <w:pPr/>
      <w:r>
        <w:rPr>
          <w:b/>
          <w:bCs/>
        </w:rPr>
        <w:t xml:space="preserve">Justification</w:t>
      </w:r>
    </w:p>
    <w:p>
      <w:pPr/>
      <w:r>
        <w:rPr/>
        <w:t xml:space="preserve">Fournir certificat valide (ISO 9001:2015).Fournir manuel qualité et CPU (Contrôle de Production en Usine).</w:t>
      </w:r>
    </w:p>
    <w:p>
      <w:pPr>
        <w:ind w:left="720" w:right="0"/>
      </w:pPr>
      <w:r>
        <w:rPr>
          <w:rStyle w:val="font_h2"/>
        </w:rPr>
        <w:t xml:space="preserve">10.2. Contrôles de réception des matières premières</w:t>
      </w:r>
    </w:p>
    <w:p>
      <w:pPr>
        <w:ind w:left="1440" w:right="0"/>
      </w:pPr>
      <w:r>
        <w:rPr>
          <w:rStyle w:val="font_h3"/>
        </w:rPr>
        <w:t xml:space="preserve">10.2.1. Résine vierge</w:t>
      </w:r>
    </w:p>
    <w:p>
      <w:pPr/>
      <w:r>
        <w:rPr/>
        <w:t xml:space="preserve">Validé par le Groupe Spécialisé le 18/09/2019</w:t>
      </w:r>
    </w:p>
    <w:p>
      <w:pPr/>
      <w:r>
        <w:rPr>
          <w:b/>
          <w:bCs/>
        </w:rPr>
        <w:t xml:space="preserve">Description</w:t>
      </w:r>
    </w:p>
    <w:p>
      <w:pPr/>
      <w:r>
        <w:rPr/>
        <w:t xml:space="preserve">Décrire la nature des contrôles effectués sur les matières premières (résine vierge) et leurs fréquences :</w:t>
      </w:r>
    </w:p>
    <w:p>
      <w:pPr>
        <w:pPr/>
        <w:numPr>
          <w:ilvl w:val="0"/>
          <w:numId w:val="13"/>
        </w:numPr>
      </w:pPr>
      <w:r>
        <w:rPr/>
        <w:t xml:space="preserve">contrôles réalisés par le fournisseur,</w:t>
      </w:r>
    </w:p>
    <w:p>
      <w:pPr>
        <w:pPr/>
        <w:numPr>
          <w:ilvl w:val="0"/>
          <w:numId w:val="13"/>
        </w:numPr>
      </w:pPr>
      <w:r>
        <w:rPr/>
        <w:t xml:space="preserve">contrôles réalisés par l'usine en contrôles internes.</w:t>
      </w:r>
    </w:p>
    <w:p>
      <w:pPr/>
      <w:r>
        <w:rPr>
          <w:b/>
          <w:bCs/>
        </w:rPr>
        <w:t xml:space="preserve">Justification</w:t>
      </w:r>
    </w:p>
    <w:p>
      <w:pPr/>
      <w:r>
        <w:rPr/>
        <w:t xml:space="preserve">Fournir plan de contrôle.Fournir la liste des fournisseurs.Fournir les résultats de contrôles et certificats de type 3.1 selon la norme EN 10204, le cas échéant.</w:t>
      </w:r>
    </w:p>
    <w:p>
      <w:pPr>
        <w:ind w:left="1440" w:right="0"/>
      </w:pPr>
      <w:r>
        <w:rPr>
          <w:rStyle w:val="font_h3"/>
        </w:rPr>
        <w:t xml:space="preserve">10.2.2. Résine recyclée</w:t>
      </w:r>
    </w:p>
    <w:p>
      <w:pPr>
        <w:ind w:left="2160" w:right="0"/>
      </w:pPr>
      <w:r>
        <w:rPr>
          <w:rStyle w:val="font_h3"/>
        </w:rPr>
        <w:t xml:space="preserve">10.2.2.1. Broyé, micronisé interne ou chutes</w:t>
      </w:r>
    </w:p>
    <w:p>
      <w:pPr/>
      <w:r>
        <w:rPr/>
        <w:t xml:space="preserve">Validé par le Groupe Spécialisé le 18/09/2019</w:t>
      </w:r>
    </w:p>
    <w:p>
      <w:pPr/>
      <w:r>
        <w:rPr>
          <w:b/>
          <w:bCs/>
        </w:rPr>
        <w:t xml:space="preserve">Description</w:t>
      </w:r>
    </w:p>
    <w:p>
      <w:pPr/>
      <w:r>
        <w:rPr/>
        <w:t xml:space="preserve">Décrire la nature des contrôles effectués sur les matières premières (résine recyclée interne) et leurs fréquences.</w:t>
      </w:r>
    </w:p>
    <w:p>
      <w:pPr/>
      <w:r>
        <w:rPr>
          <w:b/>
          <w:bCs/>
        </w:rPr>
        <w:t xml:space="preserve">Justification</w:t>
      </w:r>
    </w:p>
    <w:p>
      <w:pPr/>
      <w:r>
        <w:rPr/>
        <w:t xml:space="preserve">Fournir plan de contrôle et résultats de contrôles.</w:t>
      </w:r>
    </w:p>
    <w:p>
      <w:pPr>
        <w:ind w:left="2160" w:right="0"/>
      </w:pPr>
      <w:r>
        <w:rPr>
          <w:rStyle w:val="font_h3"/>
        </w:rPr>
        <w:t xml:space="preserve">10.2.2.2. Micronisé externe</w:t>
      </w:r>
    </w:p>
    <w:p>
      <w:pPr/>
      <w:r>
        <w:rPr/>
        <w:t xml:space="preserve">Validé par le Groupe Spécialisé le 18/09/2019</w:t>
      </w:r>
    </w:p>
    <w:p>
      <w:pPr/>
      <w:r>
        <w:rPr>
          <w:b/>
          <w:bCs/>
        </w:rPr>
        <w:t xml:space="preserve">Description</w:t>
      </w:r>
    </w:p>
    <w:p>
      <w:pPr/>
      <w:r>
        <w:rPr/>
        <w:t xml:space="preserve">Décrire la nature des contrôles effectués sur les matières premières (résine recyclée externe) et leurs fréquences.</w:t>
      </w:r>
    </w:p>
    <w:p>
      <w:pPr/>
      <w:r>
        <w:rPr>
          <w:b/>
          <w:bCs/>
        </w:rPr>
        <w:t xml:space="preserve">Justification</w:t>
      </w:r>
    </w:p>
    <w:p>
      <w:pPr/>
      <w:r>
        <w:rPr/>
        <w:t xml:space="preserve">Fournir plan de contrôle. Fournir la liste des fournisseurs. Fournir les résultats de contrôles et certificats de type 3.1 selon la norme EN 10204, le cas échéant.</w:t>
      </w:r>
    </w:p>
    <w:p>
      <w:pPr>
        <w:ind w:left="720" w:right="0"/>
      </w:pPr>
      <w:r>
        <w:rPr>
          <w:rStyle w:val="font_h2"/>
        </w:rPr>
        <w:t xml:space="preserve">10.3. Contrôles en cours de process</w:t>
      </w:r>
    </w:p>
    <w:p>
      <w:pPr/>
      <w:r>
        <w:rPr/>
        <w:t xml:space="preserve">Validé par le Groupe Spécialisé le 18/09/2019</w:t>
      </w:r>
    </w:p>
    <w:p>
      <w:pPr/>
      <w:r>
        <w:rPr>
          <w:b/>
          <w:bCs/>
        </w:rPr>
        <w:t xml:space="preserve">Description</w:t>
      </w:r>
    </w:p>
    <w:p>
      <w:pPr/>
      <w:r>
        <w:rPr/>
        <w:t xml:space="preserve">Exemple de rédaction :"Les paramètres de production font l'objet de procédures spécifiques."</w:t>
      </w:r>
    </w:p>
    <w:p>
      <w:pPr/>
      <w:r>
        <w:rPr>
          <w:b/>
          <w:bCs/>
        </w:rPr>
        <w:t xml:space="preserve">Justification</w:t>
      </w:r>
    </w:p>
    <w:p>
      <w:pPr/>
      <w:r>
        <w:rPr/>
        <w:t xml:space="preserve">Fournir plan de contrôle interne en cours de fabrication.</w:t>
      </w:r>
    </w:p>
    <w:p>
      <w:pPr>
        <w:ind w:left="720" w:right="0"/>
      </w:pPr>
      <w:r>
        <w:rPr>
          <w:rStyle w:val="font_h2"/>
        </w:rPr>
        <w:t xml:space="preserve">10.4. Contrôles sur produits finis</w:t>
      </w:r>
    </w:p>
    <w:p>
      <w:pPr/>
      <w:r>
        <w:rPr/>
        <w:t xml:space="preserve">Validé par le Groupe Spécialisé le 18/09/2019</w:t>
      </w:r>
    </w:p>
    <w:p>
      <w:pPr/>
      <w:r>
        <w:rPr>
          <w:b/>
          <w:bCs/>
        </w:rPr>
        <w:t xml:space="preserve">Description</w:t>
      </w:r>
    </w:p>
    <w:p>
      <w:pPr/>
      <w:r>
        <w:rPr/>
        <w:t xml:space="preserve">Décrire les contrôles réalisés sur les produits finis et leurs fréquences.</w:t>
      </w:r>
      <w:r>
        <w:rPr>
          <w:i/>
          <w:iCs/>
        </w:rPr>
        <w:t xml:space="preserve">Pour les tubes, ex. de rédaction :</w:t>
      </w:r>
      <w:r>
        <w:rPr/>
        <w:t xml:space="preserve"> Les contrôles réalisés sur les produits finis selon le Plan d’Assurance Qualité de l’usine sont les suivants :Insérer tableau.</w:t>
      </w:r>
    </w:p>
    <w:p>
      <w:pPr/>
      <w:r>
        <w:rPr>
          <w:b/>
          <w:bCs/>
        </w:rPr>
        <w:t xml:space="preserve">Justification</w:t>
      </w:r>
    </w:p>
    <w:p>
      <w:pPr/>
      <w:r>
        <w:rPr/>
        <w:t xml:space="preserve">Fournir plan de contrôle interne.Fournir registres de contrôles (résultats).</w:t>
      </w:r>
    </w:p>
    <w:p>
      <w:pPr/>
      <w:r>
        <w:rPr>
          <w:rStyle w:val="font_h1"/>
        </w:rPr>
        <w:t xml:space="preserve">11. Contrôles externes</w:t>
      </w:r>
    </w:p>
    <w:p>
      <w:pPr/>
      <w:r>
        <w:rPr/>
        <w:t xml:space="preserve">Validé par le Groupe Spécialisé le 18/09/2019</w:t>
      </w:r>
    </w:p>
    <w:p>
      <w:pPr/>
      <w:r>
        <w:rPr>
          <w:b/>
          <w:bCs/>
        </w:rPr>
        <w:t xml:space="preserve">Description</w:t>
      </w:r>
    </w:p>
    <w:p>
      <w:pPr/>
      <w:r>
        <w:rPr/>
        <w:t xml:space="preserve">Les points suivants doivent être vérifiés périodiquement lors d'une visite tierce partie:• plan d'assurance qualité• cahier des charges relatif aux matières premières recyclées• respect des contrôles internes et externes indiqués dans le Dossier Technique.</w:t>
      </w:r>
    </w:p>
    <w:p>
      <w:pPr/>
      <w:r>
        <w:rPr>
          <w:i/>
          <w:iCs/>
        </w:rPr>
        <w:t xml:space="preserve">Pour les tubes :</w:t>
      </w:r>
      <w:r>
        <w:rPr/>
        <w:t xml:space="preserve"> les éléments suivants doivent être certifiés conformes :• caractéristiques dimensionnelles• caractéristiques mécaniques• retrait longitudinal• étanchéité</w:t>
      </w:r>
      <w:r>
        <w:rPr>
          <w:i/>
          <w:iCs/>
        </w:rPr>
        <w:t xml:space="preserve">Pour les tubes:</w:t>
      </w:r>
      <w:r>
        <w:rPr/>
        <w:t xml:space="preserve"> les essais suivants doivent être réalisés annuellement :• caractéristiques dimensionnelles,• rigidité annulaire,• étanchéité des assemblages des tubes non perforés,• température Vicat,• résistance à la traction,• essai de choc.</w:t>
      </w:r>
    </w:p>
    <w:p>
      <w:pPr/>
      <w:r>
        <w:rPr>
          <w:b/>
          <w:bCs/>
        </w:rPr>
        <w:t xml:space="preserve">Justification</w:t>
      </w:r>
    </w:p>
    <w:p>
      <w:pPr/>
      <w:r>
        <w:rPr/>
        <w:t xml:space="preserve">Fournir certificat valide ou mettre en place une certification tierce partie.</w:t>
      </w:r>
    </w:p>
    <w:p>
      <w:pPr/>
      <w:r>
        <w:rPr>
          <w:rStyle w:val="font_h1"/>
        </w:rPr>
        <w:t xml:space="preserve">12. Mise en oeuvre des éléments</w:t>
      </w:r>
    </w:p>
    <w:p>
      <w:pPr>
        <w:ind w:left="720" w:right="0"/>
      </w:pPr>
      <w:r>
        <w:rPr>
          <w:rStyle w:val="font_h2"/>
        </w:rPr>
        <w:t xml:space="preserve">12.1. Manutention</w:t>
      </w:r>
    </w:p>
    <w:p>
      <w:pPr/>
      <w:r>
        <w:rPr/>
        <w:t xml:space="preserve">Validé par le Groupe Spécialisé le 18/09/2019</w:t>
      </w:r>
    </w:p>
    <w:p>
      <w:pPr/>
      <w:r>
        <w:rPr>
          <w:b/>
          <w:bCs/>
        </w:rPr>
        <w:t xml:space="preserve">Description</w:t>
      </w:r>
    </w:p>
    <w:p>
      <w:pPr/>
      <w:r>
        <w:rPr/>
        <w:t xml:space="preserve">Décrire les préconisations de manutention et de transport des produits.</w:t>
      </w:r>
    </w:p>
    <w:p>
      <w:pPr/>
      <w:r>
        <w:rPr>
          <w:i/>
          <w:iCs/>
        </w:rPr>
        <w:t xml:space="preserve">Pour les tubes, ex. de rédaction :</w:t>
      </w:r>
      <w:r>
        <w:rPr/>
        <w:t xml:space="preserve">« Le transport, la manutention et le stockage des tubes d'épandage et de collecte  XXXX ne soulèvent pas de difficultés particulières.Les précautions habituelles doivent cependant être respectées de façon à éviter toute déformation ou détérioration du produit :•   Eviter les manutentions brutales, les contacts ou les chocs avec des objets tels que pièces métalliques, pierres, etc.•   Eviter les chutes sur le sol lors des déchargements, ne pas traîner ni rouler les tubes sur le sol.•   Les tubes sont conditionnés en cadre de bois. Ce conditionnement doit être maintenu le plus longtemps possible avant l'emploi. »</w:t>
      </w:r>
    </w:p>
    <w:p>
      <w:pPr>
        <w:ind w:left="720" w:right="0"/>
      </w:pPr>
      <w:r>
        <w:rPr>
          <w:rStyle w:val="font_h2"/>
        </w:rPr>
        <w:t xml:space="preserve">12.2. Assemblage des éléments</w:t>
      </w:r>
    </w:p>
    <w:p>
      <w:pPr/>
      <w:r>
        <w:rPr/>
        <w:t xml:space="preserve">Validé par le Groupe Spécialisé le 18/09/2019</w:t>
      </w:r>
    </w:p>
    <w:p>
      <w:pPr/>
      <w:r>
        <w:rPr>
          <w:b/>
          <w:bCs/>
        </w:rPr>
        <w:t xml:space="preserve">Description</w:t>
      </w:r>
    </w:p>
    <w:p>
      <w:pPr/>
      <w:r>
        <w:rPr/>
        <w:t xml:space="preserve">Décrire le mode d'assemblage entre les produits, entre les produits et les accessoires le cas échéant.</w:t>
      </w:r>
    </w:p>
    <w:p>
      <w:pPr/>
      <w:r>
        <w:rPr>
          <w:b/>
          <w:bCs/>
        </w:rPr>
        <w:t xml:space="preserve">Justification</w:t>
      </w:r>
    </w:p>
    <w:p>
      <w:pPr/>
      <w:r>
        <w:rPr/>
        <w:t xml:space="preserve">Fournir procédure d'installation.</w:t>
      </w:r>
    </w:p>
    <w:p>
      <w:pPr>
        <w:ind w:left="720" w:right="0"/>
      </w:pPr>
      <w:r>
        <w:rPr>
          <w:rStyle w:val="font_h2"/>
        </w:rPr>
        <w:t xml:space="preserve">12.3. Remblayage</w:t>
      </w:r>
    </w:p>
    <w:p>
      <w:pPr/>
      <w:r>
        <w:rPr/>
        <w:t xml:space="preserve">Validé par le Groupe Spécialisé le 18/09/2019</w:t>
      </w:r>
    </w:p>
    <w:p>
      <w:pPr/>
      <w:r>
        <w:rPr>
          <w:b/>
          <w:bCs/>
        </w:rPr>
        <w:t xml:space="preserve">Description</w:t>
      </w:r>
    </w:p>
    <w:p>
      <w:pPr/>
      <w:r>
        <w:rPr/>
        <w:t xml:space="preserve">Décrire les conditions de remblayage des produits en faisant par exemple référence aux normes NF DTU appropriées.</w:t>
      </w:r>
    </w:p>
    <w:p>
      <w:pPr/>
      <w:r>
        <w:rPr>
          <w:b/>
          <w:bCs/>
        </w:rPr>
        <w:t xml:space="preserve">Justification</w:t>
      </w:r>
    </w:p>
    <w:p>
      <w:pPr/>
      <w:r>
        <w:rPr/>
        <w:t xml:space="preserve">Fournir préconisations d'installation.</w:t>
      </w:r>
    </w:p>
    <w:p>
      <w:pPr>
        <w:ind w:left="720" w:right="0"/>
      </w:pPr>
      <w:r>
        <w:rPr>
          <w:rStyle w:val="font_h2"/>
        </w:rPr>
        <w:t xml:space="preserve">12.4. Cas particulier</w:t>
      </w:r>
    </w:p>
    <w:p>
      <w:pPr/>
      <w:r>
        <w:rPr/>
        <w:t xml:space="preserve">Validé par le Groupe Spécialisé le 18/09/2019</w:t>
      </w:r>
    </w:p>
    <w:p>
      <w:pPr/>
      <w:r>
        <w:rPr>
          <w:b/>
          <w:bCs/>
        </w:rPr>
        <w:t xml:space="preserve">Description</w:t>
      </w:r>
    </w:p>
    <w:p>
      <w:pPr/>
      <w:r>
        <w:rPr/>
        <w:t xml:space="preserve">Décrire le traitement des cas particuliers du produit lors de la mise en œuvre comme par exemple l'installation sous charges roulantes, le raccordement à un autre type de matériau, etc.</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FF2E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DDC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07D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D4F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77F9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2026-03-05T09:53:31+01:00</dcterms:created>
  <dcterms:modified xsi:type="dcterms:W3CDTF">2026-03-05T09:53:31+01:00</dcterms:modified>
</cp:coreProperties>
</file>

<file path=docProps/custom.xml><?xml version="1.0" encoding="utf-8"?>
<Properties xmlns="http://schemas.openxmlformats.org/officeDocument/2006/custom-properties" xmlns:vt="http://schemas.openxmlformats.org/officeDocument/2006/docPropsVTypes"/>
</file>