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19/06/2026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stockage et traitement d'eau de pluie</w:t>
      </w:r>
    </w:p>
    <w:p>
      <w:pPr/>
      <w:r>
        <w:rPr>
          <w:rStyle w:val="font_h1"/>
        </w:rPr>
        <w:t xml:space="preserve">1. 2.1 Mode de commercialisation</w:t>
      </w:r>
    </w:p>
    <w:p>
      <w:pPr>
        <w:ind w:left="720" w:right="0"/>
      </w:pPr>
      <w:r>
        <w:rPr>
          <w:rStyle w:val="font_h2"/>
        </w:rPr>
        <w:t xml:space="preserve">1.1. 2.1.1. Coordonnées</w:t>
      </w:r>
    </w:p>
    <w:p>
      <w:pPr>
        <w:ind w:left="720" w:right="0"/>
      </w:pPr>
      <w:r>
        <w:rPr>
          <w:rStyle w:val="font_h2"/>
        </w:rPr>
        <w:t xml:space="preserve">1.2. 2.1.2. Identification</w:t>
      </w:r>
    </w:p>
    <w:p>
      <w:pPr/>
      <w:r>
        <w:rPr>
          <w:rStyle w:val="font_h1"/>
        </w:rPr>
        <w:t xml:space="preserve">2. 2.2. Description</w:t>
      </w:r>
    </w:p>
    <w:p>
      <w:pPr>
        <w:ind w:left="720" w:right="0"/>
      </w:pPr>
      <w:r>
        <w:rPr>
          <w:rStyle w:val="font_h2"/>
        </w:rPr>
        <w:t xml:space="preserve">2.1. 2.2.1. Principe</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:Description du principe de fonctionnement hydraulique</w:t>
      </w:r>
    </w:p>
    <w:p>
      <w:pPr>
        <w:ind w:left="720" w:right="0"/>
      </w:pPr>
      <w:r>
        <w:rPr>
          <w:rStyle w:val="font_h2"/>
        </w:rPr>
        <w:t xml:space="preserve">2.2. 2.2.2. Caractéristiques des composants</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 </w:t>
      </w:r>
    </w:p>
    <w:p>
      <w:pPr>
        <w:pPr/>
        <w:numPr>
          <w:ilvl w:val="0"/>
          <w:numId w:val="9"/>
        </w:numPr>
      </w:pPr>
      <w:r>
        <w:rPr/>
        <w:t xml:space="preserve">Stockage, description de :</w:t>
      </w:r>
    </w:p>
    <w:p>
      <w:pPr>
        <w:pPr/>
        <w:numPr>
          <w:ilvl w:val="1"/>
          <w:numId w:val="9"/>
        </w:numPr>
      </w:pPr>
      <w:r>
        <w:rPr/>
        <w:t xml:space="preserve">Eléments contribuant à la rétention de l’eau (p.ex. massif sol et bac) et à son écoulement (p.ex. ouvertures dans un bac pour surverse dans le bac voisin) au sein du système. </w:t>
      </w:r>
    </w:p>
    <w:p>
      <w:pPr>
        <w:pPr/>
        <w:numPr>
          <w:ilvl w:val="1"/>
          <w:numId w:val="9"/>
        </w:numPr>
      </w:pPr>
      <w:r>
        <w:rPr/>
        <w:t xml:space="preserve">Volume(s) de stockage et ses variations via les paramètres l'impactant (p.ex. effet de la pente de la TTV sur le volume du bac, de la nature du substrat (porosité) sur le volume de stockage du massif, effet de la température). </w:t>
      </w:r>
    </w:p>
    <w:p>
      <w:pPr>
        <w:pPr/>
        <w:numPr>
          <w:ilvl w:val="0"/>
          <w:numId w:val="9"/>
        </w:numPr>
      </w:pPr>
      <w:r>
        <w:rPr/>
        <w:t xml:space="preserve">Transfert d’eau, description de : capacité d’infiltration du système (conductivité hydraulique du substrat, perméabilité du géosynthétique…)</w:t>
      </w:r>
    </w:p>
    <w:p>
      <w:pPr>
        <w:pPr/>
        <w:numPr>
          <w:ilvl w:val="0"/>
          <w:numId w:val="9"/>
        </w:numPr>
      </w:pPr>
      <w:r>
        <w:rPr/>
        <w:t xml:space="preserve">Drainage, description de : éléments assurant le drainage et/ou la surverse des eaux (caractéristiques, étanchéité, connexion entre les composants...)</w:t>
      </w:r>
    </w:p>
    <w:p>
      <w:pPr>
        <w:pPr/>
        <w:numPr>
          <w:ilvl w:val="0"/>
          <w:numId w:val="9"/>
        </w:numPr>
      </w:pPr>
      <w:r>
        <w:rPr/>
        <w:t xml:space="preserve">Evapotranspiration , description de : </w:t>
      </w:r>
    </w:p>
    <w:p>
      <w:pPr>
        <w:pPr/>
        <w:numPr>
          <w:ilvl w:val="1"/>
          <w:numId w:val="9"/>
        </w:numPr>
      </w:pPr>
      <w:r>
        <w:rPr/>
        <w:t xml:space="preserve">Système sol + couvert végétal, notamment les essence(s) des plantes, hauteur des plantes en surface, profondeur des racines, densité du couvert végétal</w:t>
      </w:r>
    </w:p>
    <w:p>
      <w:pPr>
        <w:pPr/>
        <w:numPr>
          <w:ilvl w:val="1"/>
          <w:numId w:val="9"/>
        </w:numPr>
      </w:pPr>
      <w:r>
        <w:rPr/>
        <w:t xml:space="preserve">Mèches capillaires : caractéristiques, notamment la capacité de succion des mèches dans la gamme de conditions hydriques rencontrées sur le système (p.ex. massif sec à saturé en eau)</w:t>
      </w:r>
    </w:p>
    <w:p>
      <w:pPr/>
      <w:r>
        <w:rPr>
          <w:b/>
          <w:bCs/>
        </w:rPr>
        <w:t xml:space="preserve">Justification</w:t>
      </w:r>
    </w:p>
    <w:p>
      <w:pPr/>
      <w:r>
        <w:rPr/>
        <w:t xml:space="preserve">Pour des procédés de gestion des eaux pluviales en TTV - partie évaluée par le GS 17.1 : </w:t>
      </w:r>
    </w:p>
    <w:p>
      <w:pPr>
        <w:pPr/>
        <w:numPr>
          <w:ilvl w:val="0"/>
          <w:numId w:val="10"/>
        </w:numPr>
      </w:pPr>
      <w:r>
        <w:rPr/>
        <w:t xml:space="preserve">Stockage, justification sur : </w:t>
      </w:r>
    </w:p>
    <w:p>
      <w:pPr>
        <w:pPr/>
        <w:numPr>
          <w:ilvl w:val="1"/>
          <w:numId w:val="10"/>
        </w:numPr>
      </w:pPr>
      <w:r>
        <w:rPr/>
        <w:t xml:space="preserve">Volumes de rétention permanent et temporaire des bacs (en L/m²).</w:t>
      </w:r>
    </w:p>
    <w:p>
      <w:pPr>
        <w:pPr/>
        <w:numPr>
          <w:ilvl w:val="1"/>
          <w:numId w:val="10"/>
        </w:numPr>
      </w:pPr>
      <w:r>
        <w:rPr/>
        <w:t xml:space="preserve">Paramètres impactant le stockage d’eau (p.ex. effet de la pente de la TTV sur le volume du bac, de la nature du substrat (porosité) sur le volume de stockage du massif, effet de la température ?)</w:t>
      </w:r>
    </w:p>
    <w:p>
      <w:pPr>
        <w:pPr/>
        <w:numPr>
          <w:ilvl w:val="0"/>
          <w:numId w:val="10"/>
        </w:numPr>
      </w:pPr>
      <w:r>
        <w:rPr/>
        <w:t xml:space="preserve">Transfert d'eau, justification sur : capacité d’infiltration du système (conductivité hydraulique du substrat, perméabilité du géosynthétique…)</w:t>
      </w:r>
    </w:p>
    <w:p>
      <w:pPr>
        <w:pPr/>
        <w:numPr>
          <w:ilvl w:val="0"/>
          <w:numId w:val="10"/>
        </w:numPr>
      </w:pPr>
      <w:r>
        <w:rPr/>
        <w:t xml:space="preserve">Drainage, justification sur : </w:t>
      </w:r>
    </w:p>
    <w:p>
      <w:pPr>
        <w:pPr/>
        <w:numPr>
          <w:ilvl w:val="1"/>
          <w:numId w:val="10"/>
        </w:numPr>
      </w:pPr>
      <w:r>
        <w:rPr/>
        <w:t xml:space="preserve">Débits de fuites (calibration, valeurs déclarées) incluant une justification sur l’étanchéité des réservoirs permanents/temporaires (connecteurs entre bacs, orifice de vidange)</w:t>
      </w:r>
    </w:p>
    <w:p>
      <w:pPr>
        <w:pPr/>
        <w:numPr>
          <w:ilvl w:val="1"/>
          <w:numId w:val="10"/>
        </w:numPr>
      </w:pPr>
      <w:r>
        <w:rPr/>
        <w:t xml:space="preserve">Résistance du produit (tassement, affouillement, colmatage) et de la bonne évacuation de l’eau des bacs sans soulèvement, notamment lors des évènements extrêmes</w:t>
      </w:r>
    </w:p>
    <w:p>
      <w:pPr>
        <w:pPr/>
        <w:numPr>
          <w:ilvl w:val="0"/>
          <w:numId w:val="10"/>
        </w:numPr>
      </w:pPr>
      <w:r>
        <w:rPr/>
        <w:t xml:space="preserve">Evapotranspiration (ET), justification sur :</w:t>
      </w:r>
    </w:p>
    <w:p>
      <w:pPr>
        <w:pPr/>
        <w:numPr>
          <w:ilvl w:val="1"/>
          <w:numId w:val="10"/>
        </w:numPr>
      </w:pPr>
      <w:r>
        <w:rPr/>
        <w:t xml:space="preserve">Valeur(s) d’évapotranspiration réelle (ETR) et lieu(x) du/des site(s) de mesure/des mesures utilisés pour estimer le coefficient cultural : Min - max ; Moyenne par saison (Décembre – Février, Mars – Mai, Juin – Août, Septembre – Novembre) ; Moyenne annuelle. Justification obligatoire de données ETR </w:t>
      </w:r>
    </w:p>
    <w:p>
      <w:pPr>
        <w:pPr/>
        <w:numPr>
          <w:ilvl w:val="1"/>
          <w:numId w:val="10"/>
        </w:numPr>
      </w:pPr>
      <w:r>
        <w:rPr/>
        <w:t xml:space="preserve">Mèches capillaires : justification de la capacité de succion des mèches dans la gamme de conditions hydriques rencontrées sur le système (p.ex. massif sec à saturé en eau)</w:t>
      </w:r>
    </w:p>
    <w:p>
      <w:pPr>
        <w:pPr/>
        <w:numPr>
          <w:ilvl w:val="1"/>
          <w:numId w:val="10"/>
        </w:numPr>
      </w:pPr>
      <w:r>
        <w:rPr/>
        <w:t xml:space="preserve">Substrat et couvert végétal : justification de la gamme de valeurs d’ET revendiquées (p.ex. données d’essai obtenues en lysimètre)</w:t>
      </w:r>
    </w:p>
    <w:p>
      <w:pPr/>
      <w:r>
        <w:rPr/>
        <w:t xml:space="preserve">Durabilité des composants (garantie de la durabilité du fonctionnement hydraulique) :</w:t>
      </w:r>
    </w:p>
    <w:p>
      <w:pPr>
        <w:pPr/>
        <w:numPr>
          <w:ilvl w:val="0"/>
          <w:numId w:val="11"/>
        </w:numPr>
      </w:pPr>
      <w:r>
        <w:rPr/>
        <w:t xml:space="preserve">Dans le cadre de l’évapotranspiration : justification sur la durée de vie du couvert végétal, la préservation de la densité du couvert végétal et les opérations d’entretien/maintenance (prise en compte des périodes froides/sèches).Prise en considération des préconisations d’irrigation déjà visées par le GS 5.2 dans la famille "végétalisation de terrasses et toitures étanchées" </w:t>
      </w:r>
    </w:p>
    <w:p>
      <w:pPr>
        <w:pPr/>
        <w:numPr>
          <w:ilvl w:val="0"/>
          <w:numId w:val="11"/>
        </w:numPr>
      </w:pPr>
      <w:r>
        <w:rPr/>
        <w:t xml:space="preserve">Justification d’une durée de vie min. du substrat de 10 ans (colmatage, érosion interne/stabilité du squelette)</w:t>
      </w:r>
    </w:p>
    <w:p>
      <w:pPr>
        <w:pPr/>
        <w:numPr>
          <w:ilvl w:val="0"/>
          <w:numId w:val="11"/>
        </w:numPr>
      </w:pPr>
      <w:r>
        <w:rPr/>
        <w:t xml:space="preserve">Justification sur la durée de vie des mèches capillaires (durabilité par rapport au développement de radicelles…)</w:t>
      </w:r>
    </w:p>
    <w:p>
      <w:pPr>
        <w:pPr/>
        <w:numPr>
          <w:ilvl w:val="0"/>
          <w:numId w:val="11"/>
        </w:numPr>
      </w:pPr>
      <w:r>
        <w:rPr/>
        <w:t xml:space="preserve">Justification de l’absence de colmatage des bacs de rétention par invasion racinaire</w:t>
      </w:r>
    </w:p>
    <w:p>
      <w:pPr>
        <w:pPr/>
        <w:numPr>
          <w:ilvl w:val="0"/>
          <w:numId w:val="11"/>
        </w:numPr>
      </w:pPr>
      <w:r>
        <w:rPr/>
        <w:t xml:space="preserve">Justification sur le risque d’encrassement des bacs : </w:t>
      </w:r>
    </w:p>
    <w:p>
      <w:pPr>
        <w:pPr/>
        <w:numPr>
          <w:ilvl w:val="1"/>
          <w:numId w:val="11"/>
        </w:numPr>
      </w:pPr>
      <w:r>
        <w:rPr/>
        <w:t xml:space="preserve">par transfert de particules de sol (incluant les connecteurs) avec conséquences sur le volume de rétention et le drainage – si présence d’un géosynthétique : ouverture de filtration (Of) garantie la stabilité du squelette interne et O90 ≥ 63 µm</w:t>
      </w:r>
    </w:p>
    <w:p>
      <w:pPr>
        <w:pPr/>
        <w:numPr>
          <w:ilvl w:val="1"/>
          <w:numId w:val="11"/>
        </w:numPr>
      </w:pPr>
      <w:r>
        <w:rPr/>
        <w:t xml:space="preserve">par pollution extérieure (entrée via les ouvertures du système)</w:t>
      </w:r>
    </w:p>
    <w:p>
      <w:pPr>
        <w:pPr/>
        <w:numPr>
          <w:ilvl w:val="0"/>
          <w:numId w:val="11"/>
        </w:numPr>
      </w:pPr>
      <w:r>
        <w:rPr/>
        <w:t xml:space="preserve">Justification sur le risque de colmatage de chaque {régulateur + tuyau d’évacuation} et de leur accessibilité pour entretien/remplacement</w:t>
      </w:r>
    </w:p>
    <w:p>
      <w:pPr>
        <w:pPr/>
        <w:numPr>
          <w:ilvl w:val="0"/>
          <w:numId w:val="11"/>
        </w:numPr>
      </w:pPr>
      <w:r>
        <w:rPr/>
        <w:t xml:space="preserve">Justification sur le risque de corrosion des éléments métalliques au sein du système</w:t>
      </w:r>
    </w:p>
    <w:p>
      <w:pPr>
        <w:pPr/>
        <w:numPr>
          <w:ilvl w:val="0"/>
          <w:numId w:val="11"/>
        </w:numPr>
      </w:pPr>
      <w:r>
        <w:rPr/>
        <w:t xml:space="preserve">Climat de montagne et période hivernale en plaine :</w:t>
      </w:r>
    </w:p>
    <w:p>
      <w:pPr>
        <w:pPr/>
        <w:numPr>
          <w:ilvl w:val="1"/>
          <w:numId w:val="11"/>
        </w:numPr>
      </w:pPr>
      <w:r>
        <w:rPr/>
        <w:t xml:space="preserve">Justification de résistance du système à des cycles de gel-dégel sans nuire au fonctionnement/performances du produit en sortie de période de gel</w:t>
      </w:r>
    </w:p>
    <w:p>
      <w:pPr>
        <w:pPr/>
        <w:numPr>
          <w:ilvl w:val="1"/>
          <w:numId w:val="11"/>
        </w:numPr>
      </w:pPr>
      <w:r>
        <w:rPr/>
        <w:t xml:space="preserve">Références chantier en zone de montagne</w:t>
      </w:r>
    </w:p>
    <w:p>
      <w:pPr>
        <w:ind w:left="720" w:right="0"/>
      </w:pPr>
      <w:r>
        <w:rPr>
          <w:rStyle w:val="font_h2"/>
        </w:rPr>
        <w:t xml:space="preserve">2.3. 2.2.3. Performances</w:t>
      </w:r>
    </w:p>
    <w:p>
      <w:pPr>
        <w:ind w:left="720" w:right="0"/>
      </w:pPr>
      <w:r>
        <w:rPr>
          <w:rStyle w:val="font_h2"/>
        </w:rPr>
        <w:t xml:space="preserve">2.4. 2.2.4. Assemblage</w:t>
      </w:r>
    </w:p>
    <w:p>
      <w:pPr>
        <w:ind w:left="720" w:right="0"/>
      </w:pPr>
      <w:r>
        <w:rPr>
          <w:rStyle w:val="font_h2"/>
        </w:rPr>
        <w:t xml:space="preserve">2.5. 2.2.5. Stockage, manutention, emballage</w:t>
      </w:r>
    </w:p>
    <w:p>
      <w:pPr/>
      <w:r>
        <w:rPr>
          <w:rStyle w:val="font_h1"/>
        </w:rPr>
        <w:t xml:space="preserve">3. 2.3. Dispositions de conception</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 </w:t>
      </w:r>
    </w:p>
    <w:p>
      <w:pPr>
        <w:pPr/>
        <w:numPr>
          <w:ilvl w:val="0"/>
          <w:numId w:val="12"/>
        </w:numPr>
      </w:pPr>
      <w:r>
        <w:rPr/>
        <w:t xml:space="preserve">Obligation d’une étude par BE ; définition à travers cette étude : </w:t>
      </w:r>
    </w:p>
    <w:p>
      <w:pPr>
        <w:pPr/>
        <w:numPr>
          <w:ilvl w:val="1"/>
          <w:numId w:val="12"/>
        </w:numPr>
      </w:pPr>
      <w:r>
        <w:rPr/>
        <w:t xml:space="preserve">Des performances attendues sur l’ouvrage dimensionné (via logiciel)</w:t>
      </w:r>
    </w:p>
    <w:p>
      <w:pPr>
        <w:pPr/>
        <w:numPr>
          <w:ilvl w:val="1"/>
          <w:numId w:val="12"/>
        </w:numPr>
      </w:pPr>
      <w:r>
        <w:rPr/>
        <w:t xml:space="preserve">Du plan de calepinage</w:t>
      </w:r>
    </w:p>
    <w:p>
      <w:pPr>
        <w:pPr/>
        <w:numPr>
          <w:ilvl w:val="0"/>
          <w:numId w:val="12"/>
        </w:numPr>
      </w:pPr>
      <w:r>
        <w:rPr/>
        <w:t xml:space="preserve">Description de la méthodologie suivie pour le dimensionnement hydraulique et des paramètres d’entrée nécessaires aux calculs</w:t>
      </w:r>
    </w:p>
    <w:p>
      <w:pPr/>
      <w:r>
        <w:rPr>
          <w:b/>
          <w:bCs/>
        </w:rPr>
        <w:t xml:space="preserve">Justification</w:t>
      </w:r>
    </w:p>
    <w:p>
      <w:pPr/>
      <w:r>
        <w:rPr/>
        <w:t xml:space="preserve">Pour des procédés de gestion des eaux pluviales en TTV - partie évaluée par le GS 17.1, justification demandée en lien avec le logiciel utilisé par le Demandeur (obligation d’expertise) :</w:t>
      </w:r>
    </w:p>
    <w:p>
      <w:pPr>
        <w:pPr/>
        <w:numPr>
          <w:ilvl w:val="0"/>
          <w:numId w:val="13"/>
        </w:numPr>
      </w:pPr>
      <w:r>
        <w:rPr/>
        <w:t xml:space="preserve">Description du modèle, notamment : entrées/sorties, équations. Note : Définition de l'évènement pluvieux validée par le GS 17.1 (calculs via le logiciel) : la fin d’un évènement pluvieux correspond à l’arrêt du ruissellement en sortie de TTV pendant 1 h</w:t>
      </w:r>
    </w:p>
    <w:p>
      <w:pPr>
        <w:pPr/>
        <w:numPr>
          <w:ilvl w:val="0"/>
          <w:numId w:val="13"/>
        </w:numPr>
      </w:pPr>
      <w:r>
        <w:rPr/>
        <w:t xml:space="preserve">Justification de la calibration du modèle </w:t>
      </w:r>
    </w:p>
    <w:p>
      <w:pPr>
        <w:pPr/>
        <w:numPr>
          <w:ilvl w:val="0"/>
          <w:numId w:val="13"/>
        </w:numPr>
      </w:pPr>
      <w:r>
        <w:rPr/>
        <w:t xml:space="preserve">Données expérimentales, acquises sur au moins 3 sites de climats différents sur des périodes continues ≥ 12 mois, justification des données observées par rapport à la pluviométrie moyenne du site (année exceptionnellement sèche à exclure), justification de la qualité des données : </w:t>
      </w:r>
    </w:p>
    <w:p>
      <w:pPr>
        <w:pPr/>
        <w:numPr>
          <w:ilvl w:val="1"/>
          <w:numId w:val="13"/>
        </w:numPr>
      </w:pPr>
      <w:r>
        <w:rPr/>
        <w:t xml:space="preserve">Configuration du site (dimensionnement, climat, activité(s) de l’environnement proche), </w:t>
      </w:r>
    </w:p>
    <w:p>
      <w:pPr>
        <w:pPr/>
        <w:numPr>
          <w:ilvl w:val="1"/>
          <w:numId w:val="13"/>
        </w:numPr>
      </w:pPr>
      <w:r>
        <w:rPr/>
        <w:t xml:space="preserve">Instrumentation mise en œuvre et durée du suivi</w:t>
      </w:r>
    </w:p>
    <w:p>
      <w:pPr>
        <w:pPr/>
        <w:numPr>
          <w:ilvl w:val="1"/>
          <w:numId w:val="13"/>
        </w:numPr>
      </w:pPr>
      <w:r>
        <w:rPr/>
        <w:t xml:space="preserve">Pas de temps d’acquisition : justifications à donner sur les pas de temps choisis, 5 min max. pour la pluie</w:t>
      </w:r>
    </w:p>
    <w:p>
      <w:pPr>
        <w:pPr/>
        <w:numPr>
          <w:ilvl w:val="1"/>
          <w:numId w:val="13"/>
        </w:numPr>
      </w:pPr>
      <w:r>
        <w:rPr/>
        <w:t xml:space="preserve">Incertitudes sur les paramètres mesurés  </w:t>
      </w:r>
    </w:p>
    <w:p>
      <w:pPr>
        <w:pPr/>
        <w:numPr>
          <w:ilvl w:val="0"/>
          <w:numId w:val="13"/>
        </w:numPr>
      </w:pPr>
      <w:r>
        <w:rPr/>
        <w:t xml:space="preserve">Justification liée à la validation du modèle (évaluation du modèle avec un indicateur type Nash-Sutcliffe)</w:t>
      </w:r>
    </w:p>
    <w:p>
      <w:pPr>
        <w:pPr/>
        <w:numPr>
          <w:ilvl w:val="0"/>
          <w:numId w:val="13"/>
        </w:numPr>
      </w:pPr>
      <w:r>
        <w:rPr/>
        <w:t xml:space="preserve">Preuve de la réalisation d’une analyse de sensibilité du modèle,  communication des paramètres majeurs d’influence identifiés</w:t>
      </w:r>
    </w:p>
    <w:p>
      <w:pPr>
        <w:pPr/>
        <w:numPr>
          <w:ilvl w:val="0"/>
          <w:numId w:val="13"/>
        </w:numPr>
      </w:pPr>
      <w:r>
        <w:rPr/>
        <w:t xml:space="preserve">Vérification du logiciel par une tierce partie. CR du GS 17.1 du 07/10/2022 : Le Groupe attire particulièrement l’attention sur le besoin d’évaluer par un expert tierce partie les logiciels hydrologiques utilisés par les Demandeurs pour le dimensionnement hydraulique des ouvrages</w:t>
      </w:r>
    </w:p>
    <w:p>
      <w:pPr/>
      <w:r>
        <w:rPr>
          <w:rStyle w:val="font_h1"/>
        </w:rPr>
        <w:t xml:space="preserve">4. 2.4. Dispositions de mise en œuvre</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 description de la mise en œuvre</w:t>
      </w:r>
    </w:p>
    <w:p>
      <w:pPr/>
      <w:r>
        <w:rPr>
          <w:b/>
          <w:bCs/>
        </w:rPr>
        <w:t xml:space="preserve">Justification</w:t>
      </w:r>
    </w:p>
    <w:p>
      <w:pPr/>
      <w:r>
        <w:rPr/>
        <w:t xml:space="preserve">Pour des procédés de gestion des eaux pluviales en TTV - partie évaluée par le GS 17.1 : visite d'un chantier du produit/procédé en cours de mise en œuvre</w:t>
      </w:r>
    </w:p>
    <w:p>
      <w:pPr/>
      <w:r>
        <w:rPr>
          <w:rStyle w:val="font_h1"/>
        </w:rPr>
        <w:t xml:space="preserve">5. 2.5. Maintien en service du produit ou procédé</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définir : </w:t>
      </w:r>
    </w:p>
    <w:p>
      <w:pPr>
        <w:pPr/>
        <w:numPr>
          <w:ilvl w:val="0"/>
          <w:numId w:val="14"/>
        </w:numPr>
      </w:pPr>
      <w:r>
        <w:rPr/>
        <w:t xml:space="preserve">Les opérations d’entretien et leurs fréquences pour la zone végétalisée et les équipements hydrauliques de la toiture en tenant compte des particularités en termes de couvert végétal, pluviométrie du site et saison (voir DTU série 43 et Règles professionnelles TTV (3ème édition, 2018) + les éléments déjà visés par le GS 5.2)</w:t>
      </w:r>
    </w:p>
    <w:p>
      <w:pPr>
        <w:pPr/>
        <w:numPr>
          <w:ilvl w:val="0"/>
          <w:numId w:val="14"/>
        </w:numPr>
      </w:pPr>
      <w:r>
        <w:rPr/>
        <w:t xml:space="preserve">L’entretien spécifique à suivre contre le risque de développement larvaire (INSTRUCTION N° DGS/VSS1/2019/258 du 12 décembre 2019 relative à la prévention des arboviroses), p.ex. :</w:t>
      </w:r>
    </w:p>
    <w:p>
      <w:pPr>
        <w:pPr/>
        <w:numPr>
          <w:ilvl w:val="1"/>
          <w:numId w:val="14"/>
        </w:numPr>
      </w:pPr>
      <w:r>
        <w:rPr/>
        <w:t xml:space="preserve">Vérification de l’absence d’eau stagnante après une période de pluie prolongée</w:t>
      </w:r>
    </w:p>
    <w:p>
      <w:pPr>
        <w:pPr/>
        <w:numPr>
          <w:ilvl w:val="1"/>
          <w:numId w:val="14"/>
        </w:numPr>
      </w:pPr>
      <w:r>
        <w:rPr/>
        <w:t xml:space="preserve">Vérification annuelle des joints d’étanchéité des tampons</w:t>
      </w:r>
    </w:p>
    <w:p>
      <w:pPr>
        <w:pPr/>
        <w:numPr>
          <w:ilvl w:val="1"/>
          <w:numId w:val="14"/>
        </w:numPr>
      </w:pPr>
      <w:r>
        <w:rPr/>
        <w:t xml:space="preserve">Entretien a minima annuel des filtres par lavage/aspiration (remplacement des filtres accessibles sans détérioration de la protection)</w:t>
      </w:r>
    </w:p>
    <w:p>
      <w:pPr>
        <w:pPr/>
        <w:numPr>
          <w:ilvl w:val="0"/>
          <w:numId w:val="14"/>
        </w:numPr>
      </w:pPr>
      <w:r>
        <w:rPr/>
        <w:t xml:space="preserve">L'entretien spécifique à suivre contre le risque de développement algale/de vie aquatique dans les bacs</w:t>
      </w:r>
    </w:p>
    <w:p>
      <w:pPr/>
      <w:r>
        <w:rPr>
          <w:b/>
          <w:bCs/>
        </w:rPr>
        <w:t xml:space="preserve">Justification</w:t>
      </w:r>
    </w:p>
    <w:p>
      <w:pPr/>
      <w:r>
        <w:rPr/>
        <w:t xml:space="preserve">Pour des procédés de gestion des eaux pluviales en TTV - partie évaluée par le GS 17.1 :</w:t>
      </w:r>
    </w:p>
    <w:p>
      <w:pPr>
        <w:pPr/>
        <w:numPr>
          <w:ilvl w:val="0"/>
          <w:numId w:val="15"/>
        </w:numPr>
      </w:pPr>
      <w:r>
        <w:rPr/>
        <w:t xml:space="preserve">Risque de développement larvaire (INSTRUCTION N° DGS/VSS1/2019/258 du 12 décembre 2019 relative à la prévention des arboviroses) : apporter une justification sur ce risque </w:t>
      </w:r>
    </w:p>
    <w:p>
      <w:pPr>
        <w:pPr/>
        <w:numPr>
          <w:ilvl w:val="0"/>
          <w:numId w:val="15"/>
        </w:numPr>
      </w:pPr>
      <w:r>
        <w:rPr/>
        <w:t xml:space="preserve">Risque de développement algale/de vie aquatique dans les bacs : justification à fournir sur ce risque (p.ex. études terrain sur des sites en service, notamment en période estivale) </w:t>
      </w:r>
    </w:p>
    <w:p>
      <w:pPr>
        <w:pPr/>
        <w:numPr>
          <w:ilvl w:val="0"/>
          <w:numId w:val="15"/>
        </w:numPr>
      </w:pPr>
      <w:r>
        <w:rPr/>
        <w:t xml:space="preserve">Visite chantier a minima d’une TTV en service depuis plus de 3 ans (viser si possible la visite des principales configurations de TTV revendiquées dans l’ATec)</w:t>
      </w:r>
    </w:p>
    <w:p>
      <w:pPr/>
      <w:r>
        <w:rPr>
          <w:b/>
          <w:bCs/>
        </w:rPr>
        <w:t xml:space="preserve">Critères d'évaluation</w:t>
      </w:r>
    </w:p>
    <w:p>
      <w:pPr/>
      <w:r>
        <w:rPr/>
        <w:t xml:space="preserve">Risque de développement algale/de vie aquatique dans les bacs : les ouvertures dans le système (incluant les évacuations d’eau infiltrée) doivent être étudiées pour réduire le risque d’entrée d’insectes/animaux</w:t>
      </w:r>
    </w:p>
    <w:p>
      <w:pPr/>
      <w:r>
        <w:rPr>
          <w:rStyle w:val="font_h1"/>
        </w:rPr>
        <w:t xml:space="preserve">6. 2.6. Traitement en fin de vie</w:t>
      </w:r>
    </w:p>
    <w:p>
      <w:pPr/>
      <w:r>
        <w:rPr>
          <w:rStyle w:val="font_h1"/>
        </w:rPr>
        <w:t xml:space="preserve">7. 2.7. Assistance technique</w:t>
      </w:r>
    </w:p>
    <w:p>
      <w:pPr/>
      <w:r>
        <w:rPr>
          <w:rStyle w:val="font_h1"/>
        </w:rPr>
        <w:t xml:space="preserve">8. 2.8. Principes de fabrication et de contrôle de cette fabrication</w:t>
      </w:r>
    </w:p>
    <w:p>
      <w:pPr/>
      <w:r>
        <w:rPr>
          <w:rStyle w:val="font_h1"/>
        </w:rPr>
        <w:t xml:space="preserve">9. 2.9. Mention des justificatifs</w:t>
      </w:r>
    </w:p>
    <w:p>
      <w:pPr>
        <w:ind w:left="720" w:right="0"/>
      </w:pPr>
      <w:r>
        <w:rPr>
          <w:rStyle w:val="font_h2"/>
        </w:rPr>
        <w:t xml:space="preserve">9.1. 2.9.1. Résultats expérimentaux</w:t>
      </w:r>
    </w:p>
    <w:p>
      <w:pPr>
        <w:ind w:left="720" w:right="0"/>
      </w:pPr>
      <w:r>
        <w:rPr>
          <w:rStyle w:val="font_h2"/>
        </w:rPr>
        <w:t xml:space="preserve">9.2. 2.9.2. Références chantiers</w:t>
      </w:r>
    </w:p>
    <w:p>
      <w:pPr/>
      <w:r>
        <w:rPr>
          <w:rStyle w:val="font_h1"/>
        </w:rPr>
        <w:t xml:space="preserve">10. 2.10. Annexe du Dossier Technique - Schémas de mise en œuvre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2E93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720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2A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9DD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FA1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387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32D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2026-06-19T13:40:13+02:00</dcterms:created>
  <dcterms:modified xsi:type="dcterms:W3CDTF">2026-06-19T13:40:13+02:00</dcterms:modified>
</cp:coreProperties>
</file>

<file path=docProps/custom.xml><?xml version="1.0" encoding="utf-8"?>
<Properties xmlns="http://schemas.openxmlformats.org/officeDocument/2006/custom-properties" xmlns:vt="http://schemas.openxmlformats.org/officeDocument/2006/docPropsVTypes"/>
</file>