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17.2 - Édité le 24/10/2025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17.2 « Réseaux et épuration / Réseaux »</w:t>
      </w:r>
    </w:p>
    <w:p>
      <w:pPr/>
      <w:r>
        <w:rPr>
          <w:rStyle w:val="font_default"/>
        </w:rPr>
        <w:t xml:space="preserve">Famille de produits ou procédés : </w:t>
      </w:r>
      <w:r>
        <w:rPr>
          <w:rStyle w:val="font_h3"/>
        </w:rPr>
        <w:t xml:space="preserve">Procédé de réparation de réseau d'assainissement</w:t>
      </w:r>
    </w:p>
    <w:p>
      <w:pPr/>
      <w:r>
        <w:rPr>
          <w:rStyle w:val="font_h1"/>
        </w:rPr>
        <w:t xml:space="preserve">1. Généralités</w:t>
      </w:r>
    </w:p>
    <w:p>
      <w:pPr/>
      <w:r>
        <w:rPr/>
        <w:t xml:space="preserve">Validé par le Groupe Spécialisé le 17/09/2019</w:t>
      </w:r>
    </w:p>
    <w:p>
      <w:pPr/>
      <w:r>
        <w:rPr>
          <w:b/>
          <w:bCs/>
        </w:rPr>
        <w:t xml:space="preserve">Description</w:t>
      </w:r>
    </w:p>
    <w:p>
      <w:pPr/>
      <w:r>
        <w:rPr/>
        <w:t xml:space="preserve">Indiquer :  </w:t>
      </w:r>
    </w:p>
    <w:p>
      <w:pPr>
        <w:pPr/>
        <w:numPr>
          <w:ilvl w:val="0"/>
          <w:numId w:val="9"/>
        </w:numPr>
      </w:pPr>
      <w:r>
        <w:rPr/>
        <w:t xml:space="preserve">Le domaine d’emploi : "rétablissement sans ouverture de tranchée de l'étanchéité de canalisations gravitaires enterrées et destinées à véhiculer des eaux usées domestiques ou des eaux pluviales",    </w:t>
      </w:r>
    </w:p>
    <w:p>
      <w:pPr>
        <w:pPr/>
        <w:numPr>
          <w:ilvl w:val="0"/>
          <w:numId w:val="9"/>
        </w:numPr>
      </w:pPr>
      <w:r>
        <w:rPr/>
        <w:t xml:space="preserve">La nature du matériau constituant la canalisation d’accueil,   </w:t>
      </w:r>
    </w:p>
    <w:p>
      <w:pPr>
        <w:pPr/>
        <w:numPr>
          <w:ilvl w:val="0"/>
          <w:numId w:val="9"/>
        </w:numPr>
      </w:pPr>
      <w:r>
        <w:rPr/>
        <w:t xml:space="preserve">Le principe de fonctionnement du procédé,  </w:t>
      </w:r>
    </w:p>
    <w:p>
      <w:pPr>
        <w:pPr/>
        <w:numPr>
          <w:ilvl w:val="0"/>
          <w:numId w:val="9"/>
        </w:numPr>
      </w:pPr>
      <w:r>
        <w:rPr/>
        <w:t xml:space="preserve">Les limites dimensionnelles des composants,  </w:t>
      </w:r>
    </w:p>
    <w:p>
      <w:pPr>
        <w:pPr/>
        <w:numPr>
          <w:ilvl w:val="0"/>
          <w:numId w:val="9"/>
        </w:numPr>
      </w:pPr>
      <w:r>
        <w:rPr/>
        <w:t xml:space="preserve">Les limites d’application du procédé en fonction de l’importance du procédé où des caractéristiques de la canalisation d’accueil.</w:t>
      </w:r>
    </w:p>
    <w:p>
      <w:pPr/>
      <w:r>
        <w:rPr>
          <w:rStyle w:val="font_h1"/>
        </w:rPr>
        <w:t xml:space="preserve">2. Mode de fabrication et matériaux</w:t>
      </w:r>
    </w:p>
    <w:p>
      <w:pPr/>
      <w:r>
        <w:rPr/>
        <w:t xml:space="preserve">Validé par le Groupe Spécialisé le 17/09/2019</w:t>
      </w:r>
    </w:p>
    <w:p>
      <w:pPr/>
      <w:r>
        <w:rPr>
          <w:b/>
          <w:bCs/>
        </w:rPr>
        <w:t xml:space="preserve">Description</w:t>
      </w:r>
    </w:p>
    <w:p>
      <w:pPr/>
      <w:r>
        <w:rPr/>
        <w:t xml:space="preserve">Décrire les caractéristiques de la matière utilisée pour la fabrication des composants destinés à la réalisation de du produit de réparation.Préciser s’il s’agit de matières vierges ou recyclées (interne, externe).</w:t>
      </w:r>
    </w:p>
    <w:p>
      <w:pPr/>
      <w:r>
        <w:rPr>
          <w:b/>
          <w:bCs/>
        </w:rPr>
        <w:t xml:space="preserve">Justification</w:t>
      </w:r>
    </w:p>
    <w:p>
      <w:pPr/>
      <w:r>
        <w:rPr/>
        <w:t xml:space="preserve">Fournir les fiches technique des matières et les certificats de conformité. Organiser une visite d'usine avec l'instructeur.</w:t>
      </w:r>
    </w:p>
    <w:p>
      <w:pPr/>
      <w:r>
        <w:rPr>
          <w:rStyle w:val="font_h1"/>
        </w:rPr>
        <w:t xml:space="preserve">3. Description du produit fini</w:t>
      </w:r>
    </w:p>
    <w:p>
      <w:pPr/>
      <w:r>
        <w:rPr/>
        <w:t xml:space="preserve">Validé par le Groupe Spécialisé le 17/09/2019</w:t>
      </w:r>
    </w:p>
    <w:p>
      <w:pPr/>
      <w:r>
        <w:rPr>
          <w:b/>
          <w:bCs/>
        </w:rPr>
        <w:t xml:space="preserve">Description</w:t>
      </w:r>
    </w:p>
    <w:p>
      <w:pPr/>
      <w:r>
        <w:rPr/>
        <w:t xml:space="preserve">Décrire l’aspect des constituants principaux.</w:t>
      </w:r>
    </w:p>
    <w:p>
      <w:pPr/>
      <w:r>
        <w:rPr>
          <w:b/>
          <w:bCs/>
        </w:rPr>
        <w:t xml:space="preserve">Justification</w:t>
      </w:r>
    </w:p>
    <w:p>
      <w:pPr/>
      <w:r>
        <w:rPr/>
        <w:t xml:space="preserve">Organiser une visite d'usine avec l'instructeur.</w:t>
      </w:r>
    </w:p>
    <w:p>
      <w:pPr/>
      <w:r>
        <w:rPr>
          <w:rStyle w:val="font_h1"/>
        </w:rPr>
        <w:t xml:space="preserve">4. Caractéristiques physiques et mécaniques</w:t>
      </w:r>
    </w:p>
    <w:p>
      <w:pPr>
        <w:ind w:left="720" w:right="0"/>
      </w:pPr>
      <w:r>
        <w:rPr>
          <w:rStyle w:val="font_h2"/>
        </w:rPr>
        <w:t xml:space="preserve">4.2. Caractéristiques dimensionnelles</w:t>
      </w:r>
    </w:p>
    <w:p>
      <w:pPr/>
      <w:r>
        <w:rPr/>
        <w:t xml:space="preserve">Validé par le Groupe Spécialisé le 17/09/2019</w:t>
      </w:r>
    </w:p>
    <w:p>
      <w:pPr/>
      <w:r>
        <w:rPr>
          <w:b/>
          <w:bCs/>
        </w:rPr>
        <w:t xml:space="preserve">Description</w:t>
      </w:r>
    </w:p>
    <w:p>
      <w:pPr/>
      <w:r>
        <w:rPr/>
        <w:t xml:space="preserve">Indiquer les caractéristiques dimensionnelles du produit, en rapport avec l'aptitude à la fonction.</w:t>
      </w:r>
      <w:br/>
      <w:r>
        <w:rPr/>
        <w:t xml:space="preserve">Indiquer le poids du produit en cohérence avec les modalités de manutention.</w:t>
      </w:r>
      <w:br/>
      <w:r>
        <w:rPr/>
        <w:t xml:space="preserve">Définir et indiquer la longueur utile du produit.</w:t>
      </w:r>
    </w:p>
    <w:p>
      <w:pPr/>
      <w:r>
        <w:rPr>
          <w:b/>
          <w:bCs/>
        </w:rPr>
        <w:t xml:space="preserve">Justification</w:t>
      </w:r>
    </w:p>
    <w:p>
      <w:pPr/>
      <w:r>
        <w:rPr/>
        <w:t xml:space="preserve">Fournir des rapports d'essai de contrôles dimensionnels.</w:t>
      </w:r>
    </w:p>
    <w:p>
      <w:pPr>
        <w:ind w:left="720" w:right="0"/>
      </w:pPr>
      <w:r>
        <w:rPr>
          <w:rStyle w:val="font_h2"/>
        </w:rPr>
        <w:t xml:space="preserve">4.3. Etanchéité</w:t>
      </w:r>
    </w:p>
    <w:p>
      <w:pPr/>
      <w:r>
        <w:rPr/>
        <w:t xml:space="preserve">Validé par le Groupe Spécialisé le 17/09/2019</w:t>
      </w:r>
    </w:p>
    <w:p>
      <w:pPr/>
      <w:r>
        <w:rPr>
          <w:b/>
          <w:bCs/>
        </w:rPr>
        <w:t xml:space="preserve">Description</w:t>
      </w:r>
    </w:p>
    <w:p>
      <w:pPr/>
      <w:r>
        <w:rPr/>
        <w:t xml:space="preserve">Préciser les conditions de l'essai d'étanchéité.L’étanchéité doit pouvoir être constatée sous l’effet d’une pression interne minimale de 0,5 bar.Par ailleurs, chaque système doit faire l'objet d'un essai d'étanchéité réalisé selon les spécifications de la norme EN 1610, après mise en œuvre dans le réseau.</w:t>
      </w:r>
    </w:p>
    <w:p>
      <w:pPr/>
      <w:r>
        <w:rPr>
          <w:b/>
          <w:bCs/>
        </w:rPr>
        <w:t xml:space="preserve">Justification</w:t>
      </w:r>
    </w:p>
    <w:p>
      <w:pPr/>
      <w:r>
        <w:rPr/>
        <w:t xml:space="preserve">Fournir un rapport d'essai.</w:t>
      </w:r>
    </w:p>
    <w:p>
      <w:pPr>
        <w:ind w:left="720" w:right="0"/>
      </w:pPr>
      <w:r>
        <w:rPr>
          <w:rStyle w:val="font_h2"/>
        </w:rPr>
        <w:t xml:space="preserve">4.4. Comportement mécanique</w:t>
      </w:r>
    </w:p>
    <w:p>
      <w:pPr/>
      <w:r>
        <w:rPr/>
        <w:t xml:space="preserve">Validé par le Groupe Spécialisé le 17/09/2019</w:t>
      </w:r>
    </w:p>
    <w:p>
      <w:pPr/>
      <w:r>
        <w:rPr>
          <w:b/>
          <w:bCs/>
        </w:rPr>
        <w:t xml:space="preserve">Description</w:t>
      </w:r>
    </w:p>
    <w:p>
      <w:pPr/>
      <w:r>
        <w:rPr/>
        <w:t xml:space="preserve">Indiquer le coefficient de sécurité vis-à-vis du risque de flambement lorsque soumis à la seule pression hydrostatique.</w:t>
      </w:r>
    </w:p>
    <w:p>
      <w:pPr/>
      <w:r>
        <w:rPr>
          <w:b/>
          <w:bCs/>
        </w:rPr>
        <w:t xml:space="preserve">Justification</w:t>
      </w:r>
    </w:p>
    <w:p>
      <w:pPr/>
      <w:r>
        <w:rPr/>
        <w:t xml:space="preserve">Fournir un rapport d'essai.</w:t>
      </w:r>
    </w:p>
    <w:p>
      <w:pPr>
        <w:ind w:left="720" w:right="0"/>
      </w:pPr>
      <w:r>
        <w:rPr>
          <w:rStyle w:val="font_h2"/>
        </w:rPr>
        <w:t xml:space="preserve">4.5. Résistance au jet</w:t>
      </w:r>
    </w:p>
    <w:p>
      <w:pPr/>
      <w:r>
        <w:rPr/>
        <w:t xml:space="preserve">Validé par le Groupe Spécialisé le 17/09/2019</w:t>
      </w:r>
    </w:p>
    <w:p>
      <w:pPr/>
      <w:r>
        <w:rPr>
          <w:b/>
          <w:bCs/>
        </w:rPr>
        <w:t xml:space="preserve">Description</w:t>
      </w:r>
    </w:p>
    <w:p>
      <w:pPr/>
      <w:r>
        <w:rPr/>
        <w:t xml:space="preserve">Préciser la méthode d’essai et les résultats de l'essai.</w:t>
      </w:r>
    </w:p>
    <w:p>
      <w:pPr/>
      <w:r>
        <w:rPr>
          <w:b/>
          <w:bCs/>
        </w:rPr>
        <w:t xml:space="preserve">Justification</w:t>
      </w:r>
    </w:p>
    <w:p>
      <w:pPr/>
      <w:r>
        <w:rPr/>
        <w:t xml:space="preserve">fournir un rapport d'essai.</w:t>
      </w:r>
    </w:p>
    <w:p>
      <w:pPr>
        <w:ind w:left="720" w:right="0"/>
      </w:pPr>
      <w:r>
        <w:rPr>
          <w:rStyle w:val="font_h2"/>
        </w:rPr>
        <w:t xml:space="preserve">4.6. Marquage</w:t>
      </w:r>
    </w:p>
    <w:p>
      <w:pPr/>
      <w:r>
        <w:rPr/>
        <w:t xml:space="preserve">Validé par le Groupe Spécialisé le 17/09/2019</w:t>
      </w:r>
    </w:p>
    <w:p>
      <w:pPr/>
      <w:r>
        <w:rPr>
          <w:b/>
          <w:bCs/>
        </w:rPr>
        <w:t xml:space="preserve">Description</w:t>
      </w:r>
    </w:p>
    <w:p>
      <w:pPr/>
      <w:r>
        <w:rPr/>
        <w:t xml:space="preserve">Le marquage des manchettes doit être conforme aux exigences définies dans l’Avis Technique.</w:t>
      </w:r>
    </w:p>
    <w:p>
      <w:pPr/>
      <w:r>
        <w:rPr>
          <w:b/>
          <w:bCs/>
        </w:rPr>
        <w:t xml:space="preserve">Justification</w:t>
      </w:r>
    </w:p>
    <w:p>
      <w:pPr/>
      <w:r>
        <w:rPr/>
        <w:t xml:space="preserve">Visite d'usine.</w:t>
      </w:r>
    </w:p>
    <w:p>
      <w:pPr/>
      <w:r>
        <w:rPr>
          <w:b/>
          <w:bCs/>
        </w:rPr>
        <w:t xml:space="preserve">Critères d'évaluation</w:t>
      </w:r>
    </w:p>
    <w:p>
      <w:pPr/>
      <w:r>
        <w:rPr/>
        <w:t xml:space="preserve">Conformité aux indications du Dossier Technique.</w:t>
      </w:r>
    </w:p>
    <w:p>
      <w:pPr/>
      <w:r>
        <w:rPr>
          <w:rStyle w:val="font_h1"/>
        </w:rPr>
        <w:t xml:space="preserve">5. Etude préalable</w:t>
      </w:r>
    </w:p>
    <w:p>
      <w:pPr/>
      <w:r>
        <w:rPr/>
        <w:t xml:space="preserve">Validé par le Groupe Spécialisé le 07/06/2022</w:t>
      </w:r>
    </w:p>
    <w:p>
      <w:pPr/>
      <w:r>
        <w:rPr>
          <w:b/>
          <w:bCs/>
        </w:rPr>
        <w:t xml:space="preserve">Description</w:t>
      </w:r>
    </w:p>
    <w:p>
      <w:pPr/>
      <w:r>
        <w:rPr/>
        <w:t xml:space="preserve">Indiquer le contenu et les objectifs de l'étude préalable.</w:t>
      </w:r>
    </w:p>
    <w:p>
      <w:pPr/>
      <w:r>
        <w:rPr/>
        <w:t xml:space="preserve">Exemple de rédaction :</w:t>
      </w:r>
      <w:br/>
      <w:r>
        <w:rPr/>
        <w:t xml:space="preserve">"Le recours à une manchette doit faire l'objet d'une étude préalable portant sur la nature de l'ouvrage, ses conditions d'emploi, son environnement et comprenant notamment l'évaluation de la charge d'eau maximum envisagée.  </w:t>
      </w:r>
    </w:p>
    <w:p>
      <w:pPr/>
      <w:r>
        <w:rPr/>
        <w:t xml:space="preserve">Par ailleurs, après examen du rapport d'inspection télévisée seront déterminés :  </w:t>
      </w:r>
    </w:p>
    <w:p>
      <w:pPr>
        <w:pPr/>
        <w:numPr>
          <w:ilvl w:val="0"/>
          <w:numId w:val="10"/>
        </w:numPr>
      </w:pPr>
      <w:r>
        <w:rPr/>
        <w:t xml:space="preserve">la nature des préparations éventuelles (enlèvement d'obstacles par l'intérieur).</w:t>
      </w:r>
    </w:p>
    <w:p>
      <w:pPr>
        <w:pPr/>
        <w:numPr>
          <w:ilvl w:val="0"/>
          <w:numId w:val="10"/>
        </w:numPr>
      </w:pPr>
      <w:r>
        <w:rPr/>
        <w:t xml:space="preserve">la prise en compte des défauts structurels (décentrages, déviations angulaires, ovalisation, fissurations, etc...) pour vérifier la pertinence du choix de la solution apportée.  </w:t>
      </w:r>
    </w:p>
    <w:p>
      <w:pPr/>
      <w:r>
        <w:rPr/>
        <w:t xml:space="preserve">Dans le cas d'une pose en série validée : indiquer que la continuité du fil d’eau est non conforme aux spécifications de la norme EN 476 pour la pose en série et donner les valeurs pour chaque DN. (CR GS 169 - 10/12/21)</w:t>
      </w:r>
    </w:p>
    <w:p>
      <w:pPr/>
      <w:r>
        <w:rPr/>
        <w:t xml:space="preserve">L’utilisation de manchettes nécessite la connaissance préalable du diamètre du tuyau d’accueil, voire l’épaisseur du chemisage pour certains produits."</w:t>
      </w:r>
    </w:p>
    <w:p>
      <w:pPr/>
      <w:r>
        <w:rPr>
          <w:b/>
          <w:bCs/>
        </w:rPr>
        <w:t xml:space="preserve">Justification</w:t>
      </w:r>
    </w:p>
    <w:p>
      <w:pPr/>
      <w:r>
        <w:rPr/>
        <w:t xml:space="preserve">Fournir une liste de références de chantier.</w:t>
      </w:r>
    </w:p>
    <w:p>
      <w:pPr/>
      <w:r>
        <w:rPr>
          <w:rStyle w:val="font_h1"/>
        </w:rPr>
        <w:t xml:space="preserve">6. Mise en oeuvre</w:t>
      </w:r>
    </w:p>
    <w:p>
      <w:pPr>
        <w:ind w:left="720" w:right="0"/>
      </w:pPr>
      <w:r>
        <w:rPr>
          <w:rStyle w:val="font_h2"/>
        </w:rPr>
        <w:t xml:space="preserve">6.2. Opérations préalables</w:t>
      </w:r>
    </w:p>
    <w:p>
      <w:pPr/>
      <w:r>
        <w:rPr/>
        <w:t xml:space="preserve">Validé par le Groupe Spécialisé le 17/09/2019</w:t>
      </w:r>
    </w:p>
    <w:p>
      <w:pPr/>
      <w:r>
        <w:rPr>
          <w:b/>
          <w:bCs/>
        </w:rPr>
        <w:t xml:space="preserve">Description</w:t>
      </w:r>
    </w:p>
    <w:p>
      <w:pPr/>
      <w:r>
        <w:rPr/>
        <w:t xml:space="preserve">Décrire les opérations préalables nécessaires (déviation des eaux usées, élimination des obstacles, nettoyage, ragréage et fraisage éventuel).La canalisation doit être nettoyée de sorte que l'on puisse parfaitement visualiser le défaut à réparer.</w:t>
      </w:r>
    </w:p>
    <w:p>
      <w:pPr/>
      <w:r>
        <w:rPr>
          <w:b/>
          <w:bCs/>
        </w:rPr>
        <w:t xml:space="preserve">Justification</w:t>
      </w:r>
    </w:p>
    <w:p>
      <w:pPr/>
      <w:r>
        <w:rPr/>
        <w:t xml:space="preserve">Organiser une visite de chantier avec l'instructeur. Fournir le manuel de pose en langue française.</w:t>
      </w:r>
    </w:p>
    <w:p>
      <w:pPr>
        <w:ind w:left="720" w:right="0"/>
      </w:pPr>
      <w:r>
        <w:rPr>
          <w:rStyle w:val="font_h2"/>
        </w:rPr>
        <w:t xml:space="preserve">6.3. Mise en oeuvre proprement dite</w:t>
      </w:r>
    </w:p>
    <w:p>
      <w:pPr/>
      <w:r>
        <w:rPr/>
        <w:t xml:space="preserve">Validé par le Groupe Spécialisé le 17/09/2019</w:t>
      </w:r>
    </w:p>
    <w:p>
      <w:pPr/>
      <w:r>
        <w:rPr>
          <w:b/>
          <w:bCs/>
        </w:rPr>
        <w:t xml:space="preserve">Description</w:t>
      </w:r>
    </w:p>
    <w:p>
      <w:pPr/>
      <w:r>
        <w:rPr/>
        <w:t xml:space="preserve">Décrire les différentes phases (positionnement, mise en pression, paramètres de mise en œuvre à respecter).</w:t>
      </w:r>
    </w:p>
    <w:p>
      <w:pPr/>
      <w:r>
        <w:rPr>
          <w:b/>
          <w:bCs/>
        </w:rPr>
        <w:t xml:space="preserve">Justification</w:t>
      </w:r>
    </w:p>
    <w:p>
      <w:pPr/>
      <w:r>
        <w:rPr/>
        <w:t xml:space="preserve">Notice, visite de chantier.</w:t>
      </w:r>
    </w:p>
    <w:p>
      <w:pPr/>
      <w:r>
        <w:rPr>
          <w:b/>
          <w:bCs/>
        </w:rPr>
        <w:t xml:space="preserve">Critères d'évaluation</w:t>
      </w:r>
    </w:p>
    <w:p>
      <w:pPr/>
      <w:r>
        <w:rPr/>
        <w:t xml:space="preserve">Conformité aux indications du Dossier Technique.</w:t>
      </w:r>
    </w:p>
    <w:p>
      <w:pPr>
        <w:ind w:left="720" w:right="0"/>
      </w:pPr>
      <w:r>
        <w:rPr>
          <w:rStyle w:val="font_h2"/>
        </w:rPr>
        <w:t xml:space="preserve">6.4. Inspection finale et contrôle d'étanchéité</w:t>
      </w:r>
    </w:p>
    <w:p>
      <w:pPr/>
      <w:r>
        <w:rPr/>
        <w:t xml:space="preserve">Validé par le Groupe Spécialisé le 17/09/2019</w:t>
      </w:r>
    </w:p>
    <w:p>
      <w:pPr/>
      <w:r>
        <w:rPr>
          <w:b/>
          <w:bCs/>
        </w:rPr>
        <w:t xml:space="preserve">Description</w:t>
      </w:r>
    </w:p>
    <w:p>
      <w:pPr/>
      <w:r>
        <w:rPr/>
        <w:t xml:space="preserve">Indiquer les opérations de réception des travaux de réparation.La section de la conduite rénovée doit être contrôlée visuellement puis conformément aux spécifications de la norme NF EN 1610.</w:t>
      </w:r>
    </w:p>
    <w:p>
      <w:pPr/>
      <w:r>
        <w:rPr>
          <w:b/>
          <w:bCs/>
        </w:rPr>
        <w:t xml:space="preserve">Justification</w:t>
      </w:r>
    </w:p>
    <w:p>
      <w:pPr/>
      <w:r>
        <w:rPr/>
        <w:t xml:space="preserve">Organiser une visite de chantier avec l'instructeur. Fournir le manuel de pose en français.</w:t>
      </w:r>
    </w:p>
    <w:p>
      <w:pPr/>
      <w:r>
        <w:rPr>
          <w:rStyle w:val="font_h1"/>
        </w:rPr>
        <w:t xml:space="preserve">7. Contrôles internes</w:t>
      </w:r>
    </w:p>
    <w:p>
      <w:pPr>
        <w:ind w:left="720" w:right="0"/>
      </w:pPr>
      <w:r>
        <w:rPr>
          <w:rStyle w:val="font_h2"/>
        </w:rPr>
        <w:t xml:space="preserve">7.1. Système qualité</w:t>
      </w:r>
    </w:p>
    <w:p>
      <w:pPr/>
      <w:r>
        <w:rPr/>
        <w:t xml:space="preserve">Validé par le Groupe Spécialisé le 17/09/2019</w:t>
      </w:r>
    </w:p>
    <w:p>
      <w:pPr/>
      <w:r>
        <w:rPr>
          <w:b/>
          <w:bCs/>
        </w:rPr>
        <w:t xml:space="preserve">Description</w:t>
      </w:r>
    </w:p>
    <w:p>
      <w:pPr/>
      <w:r>
        <w:rPr/>
        <w:t xml:space="preserve">Préciser si les produits sont fabriqués dans le cadre d’un Plan d’Assurance Qualité et si ce PAQ est certifié (non obligatoire).</w:t>
      </w:r>
    </w:p>
    <w:p>
      <w:pPr/>
      <w:r>
        <w:rPr>
          <w:b/>
          <w:bCs/>
        </w:rPr>
        <w:t xml:space="preserve">Justification</w:t>
      </w:r>
    </w:p>
    <w:p>
      <w:pPr/>
      <w:r>
        <w:rPr/>
        <w:t xml:space="preserve">Fournir un certificat à jour si pertinent, ou extraits utiles du Plan d'assurance qualité.</w:t>
      </w:r>
    </w:p>
    <w:p>
      <w:pPr>
        <w:ind w:left="720" w:right="0"/>
      </w:pPr>
      <w:r>
        <w:rPr>
          <w:rStyle w:val="font_h2"/>
        </w:rPr>
        <w:t xml:space="preserve">7.2. Contrôle sur matières premières</w:t>
      </w:r>
    </w:p>
    <w:p>
      <w:pPr/>
      <w:r>
        <w:rPr/>
        <w:t xml:space="preserve">Validé par le Groupe Spécialisé le 17/09/2019</w:t>
      </w:r>
    </w:p>
    <w:p>
      <w:pPr/>
      <w:r>
        <w:rPr>
          <w:b/>
          <w:bCs/>
        </w:rPr>
        <w:t xml:space="preserve">Description</w:t>
      </w:r>
    </w:p>
    <w:p>
      <w:pPr/>
      <w:r>
        <w:rPr/>
        <w:t xml:space="preserve">Lister les essais (avec leur fréquence) réalisés sur les matières premières</w:t>
      </w:r>
    </w:p>
    <w:p>
      <w:pPr/>
      <w:r>
        <w:rPr>
          <w:b/>
          <w:bCs/>
        </w:rPr>
        <w:t xml:space="preserve">Justification</w:t>
      </w:r>
    </w:p>
    <w:p>
      <w:pPr/>
      <w:r>
        <w:rPr/>
        <w:t xml:space="preserve">Organiser une visite d’usine avec l'instructeur. Fournir un extrait du plan d'Assurance Qualité ou du certificat qualité. Fournir les certificats de conformité</w:t>
      </w:r>
    </w:p>
    <w:p>
      <w:pPr>
        <w:ind w:left="720" w:right="0"/>
      </w:pPr>
      <w:r>
        <w:rPr>
          <w:rStyle w:val="font_h2"/>
        </w:rPr>
        <w:t xml:space="preserve">7.3. Contrôles en cours de process</w:t>
      </w:r>
    </w:p>
    <w:p>
      <w:pPr/>
      <w:r>
        <w:rPr/>
        <w:t xml:space="preserve">Validé par le Groupe Spécialisé le 17/09/2019</w:t>
      </w:r>
    </w:p>
    <w:p>
      <w:pPr/>
      <w:r>
        <w:rPr>
          <w:b/>
          <w:bCs/>
        </w:rPr>
        <w:t xml:space="preserve">Description</w:t>
      </w:r>
    </w:p>
    <w:p>
      <w:pPr/>
      <w:r>
        <w:rPr/>
        <w:t xml:space="preserve">Facultatif : indiquer les contrôles effectués sur le process de fabrication.</w:t>
      </w:r>
    </w:p>
    <w:p>
      <w:pPr>
        <w:ind w:left="720" w:right="0"/>
      </w:pPr>
      <w:r>
        <w:rPr>
          <w:rStyle w:val="font_h2"/>
        </w:rPr>
        <w:t xml:space="preserve">7.4. Contrôles sur produits finis</w:t>
      </w:r>
    </w:p>
    <w:p>
      <w:pPr/>
      <w:r>
        <w:rPr/>
        <w:t xml:space="preserve">Validé par le Groupe Spécialisé le 17/09/2019</w:t>
      </w:r>
    </w:p>
    <w:p>
      <w:pPr/>
      <w:r>
        <w:rPr>
          <w:b/>
          <w:bCs/>
        </w:rPr>
        <w:t xml:space="preserve">Description</w:t>
      </w:r>
    </w:p>
    <w:p>
      <w:pPr/>
      <w:r>
        <w:rPr/>
        <w:t xml:space="preserve">Indiquer la liste minimale des contrôles effectués sur les produits finis en relation avec l’aptitude à la fonction.</w:t>
      </w:r>
      <w:br/>
      <w:r>
        <w:rPr/>
        <w:t xml:space="preserve">Lorsque la fréquence des contrôles est définie par "lots", définir ce qu'est un "lot". Idem pour la notion de "poste".</w:t>
      </w:r>
    </w:p>
    <w:p>
      <w:pPr/>
      <w:r>
        <w:rPr>
          <w:b/>
          <w:bCs/>
        </w:rPr>
        <w:t xml:space="preserve">Justification</w:t>
      </w:r>
    </w:p>
    <w:p>
      <w:pPr/>
      <w:r>
        <w:rPr/>
        <w:t xml:space="preserve">Organiser une visite d’usine avec l'instructeur. Fournir le plan d'assurance qualité ou le certificat qualité. Fournir les certificats de conformité</w:t>
      </w:r>
    </w:p>
    <w:p>
      <w:pPr/>
      <w:r>
        <w:rPr>
          <w:rStyle w:val="font_h1"/>
        </w:rPr>
        <w:t xml:space="preserve">8. Contrôles externes</w:t>
      </w:r>
    </w:p>
    <w:p>
      <w:pPr/>
      <w:r>
        <w:rPr/>
        <w:t xml:space="preserve">Validé par le Groupe Spécialisé le 17/09/2019</w:t>
      </w:r>
    </w:p>
    <w:p>
      <w:pPr/>
      <w:r>
        <w:rPr>
          <w:b/>
          <w:bCs/>
        </w:rPr>
        <w:t xml:space="preserve">Description</w:t>
      </w:r>
    </w:p>
    <w:p>
      <w:pPr/>
      <w:r>
        <w:rPr/>
        <w:t xml:space="preserve">Les produits doivent faire l’objet d’un contrôle externe de suivi de la constance de leurs performances et de la qualité de fabrication.</w:t>
      </w:r>
      <w:br/>
      <w:r>
        <w:rPr/>
        <w:t xml:space="preserve">Indiquer les modalités de ce contrôle.</w:t>
      </w:r>
      <w:br/>
      <w:r>
        <w:rPr/>
        <w:t xml:space="preserve">Pour des manchettes élastomère/acier, les caractéristiques suivies doivent être a minima :</w:t>
      </w:r>
      <w:br/>
      <w:r>
        <w:rPr>
          <w:i/>
          <w:iCs/>
        </w:rPr>
        <w:t xml:space="preserve">Elastomère</w:t>
      </w:r>
      <w:r>
        <w:rPr/>
        <w:t xml:space="preserve">  :</w:t>
      </w:r>
    </w:p>
    <w:p>
      <w:pPr>
        <w:pPr/>
        <w:numPr>
          <w:ilvl w:val="0"/>
          <w:numId w:val="11"/>
        </w:numPr>
      </w:pPr>
      <w:r>
        <w:rPr/>
        <w:t xml:space="preserve">Dureté</w:t>
      </w:r>
    </w:p>
    <w:p>
      <w:pPr>
        <w:pPr/>
        <w:numPr>
          <w:ilvl w:val="0"/>
          <w:numId w:val="11"/>
        </w:numPr>
      </w:pPr>
      <w:r>
        <w:rPr/>
        <w:t xml:space="preserve">Résistance à la traction</w:t>
      </w:r>
    </w:p>
    <w:p>
      <w:pPr>
        <w:pPr/>
        <w:numPr>
          <w:ilvl w:val="0"/>
          <w:numId w:val="11"/>
        </w:numPr>
      </w:pPr>
      <w:r>
        <w:rPr/>
        <w:t xml:space="preserve">Allongement à la rupture</w:t>
      </w:r>
    </w:p>
    <w:p>
      <w:pPr>
        <w:pPr/>
        <w:numPr>
          <w:ilvl w:val="0"/>
          <w:numId w:val="11"/>
        </w:numPr>
      </w:pPr>
      <w:r>
        <w:rPr/>
        <w:t xml:space="preserve">Déformation rémanente après compression (24h à 70 °C)</w:t>
      </w:r>
      <w:br/>
      <w:r>
        <w:rPr>
          <w:i/>
          <w:iCs/>
        </w:rPr>
        <w:t xml:space="preserve">Renfort acier</w:t>
      </w:r>
      <w:r>
        <w:rPr/>
        <w:t xml:space="preserve"> :  </w:t>
      </w:r>
    </w:p>
    <w:p>
      <w:pPr>
        <w:pPr/>
        <w:numPr>
          <w:ilvl w:val="0"/>
          <w:numId w:val="11"/>
        </w:numPr>
      </w:pPr>
      <w:r>
        <w:rPr/>
        <w:t xml:space="preserve">Dimensions</w:t>
      </w:r>
    </w:p>
    <w:p>
      <w:pPr>
        <w:pPr/>
        <w:numPr>
          <w:ilvl w:val="0"/>
          <w:numId w:val="11"/>
        </w:numPr>
      </w:pPr>
      <w:r>
        <w:rPr/>
        <w:t xml:space="preserve">Etat de surface</w:t>
      </w:r>
    </w:p>
    <w:p>
      <w:pPr>
        <w:pPr/>
        <w:numPr>
          <w:ilvl w:val="0"/>
          <w:numId w:val="11"/>
        </w:numPr>
      </w:pPr>
      <w:r>
        <w:rPr/>
        <w:t xml:space="preserve">Marquage</w:t>
      </w:r>
    </w:p>
    <w:p>
      <w:pPr/>
      <w:r>
        <w:rPr>
          <w:b/>
          <w:bCs/>
        </w:rPr>
        <w:t xml:space="preserve">Justification</w:t>
      </w:r>
    </w:p>
    <w:p>
      <w:pPr/>
      <w:r>
        <w:rPr/>
        <w:t xml:space="preserve">Fournir les certificats existant et le référentiel de marque en langue française.</w:t>
      </w:r>
    </w:p>
    <w:p>
      <w:pPr/>
      <w:r>
        <w:rPr>
          <w:rStyle w:val="font_h1"/>
        </w:rPr>
        <w:t xml:space="preserve">9. Entretien</w:t>
      </w:r>
    </w:p>
    <w:p>
      <w:pPr/>
      <w:r>
        <w:rPr/>
        <w:t xml:space="preserve">Validé par le Groupe Spécialisé le 17/09/2019</w:t>
      </w:r>
    </w:p>
    <w:p>
      <w:pPr/>
      <w:r>
        <w:rPr>
          <w:b/>
          <w:bCs/>
        </w:rPr>
        <w:t xml:space="preserve">Description</w:t>
      </w:r>
    </w:p>
    <w:p>
      <w:pPr/>
      <w:r>
        <w:rPr/>
        <w:t xml:space="preserve">Préciser les modalités d'entretien et de nettoyage de l'ouvrage constitué du produit décrit. Pour le curage, préciser la pression et le débit max à la pompe (hydrocurage), le type de buse à utiliser, ainsi que les outils à proscrire.</w:t>
      </w:r>
    </w:p>
    <w:p>
      <w:pPr/>
      <w:r>
        <w:rPr>
          <w:b/>
          <w:bCs/>
        </w:rPr>
        <w:t xml:space="preserve">Justification</w:t>
      </w:r>
    </w:p>
    <w:p>
      <w:pPr/>
      <w:r>
        <w:rPr/>
        <w:t xml:space="preserve">Fournir des références de chantier. Fournir des inspections télévisées de l'ouvrage avant, pendant et après l'entretien. Organiser une visite chantier avec l'instructeur.</w:t>
      </w:r>
    </w:p>
    <w:p>
      <w:pPr/>
      <w:r>
        <w:rPr>
          <w:rStyle w:val="font_h1"/>
        </w:rPr>
        <w:t xml:space="preserve">10. Mode de commercialisation</w:t>
      </w:r>
    </w:p>
    <w:p>
      <w:pPr/>
      <w:r>
        <w:rPr/>
        <w:t xml:space="preserve">Validé par le Groupe Spécialisé le 17/09/2019</w:t>
      </w:r>
    </w:p>
    <w:p>
      <w:pPr/>
      <w:r>
        <w:rPr>
          <w:b/>
          <w:bCs/>
        </w:rPr>
        <w:t xml:space="preserve">Description</w:t>
      </w:r>
    </w:p>
    <w:p>
      <w:pPr/>
      <w:r>
        <w:rPr/>
        <w:t xml:space="preserve">Préciser le mode de commercialisation des produits.</w:t>
      </w:r>
    </w:p>
    <w:p>
      <w:pPr/>
      <w:r>
        <w:rPr>
          <w:rStyle w:val="font_h1"/>
        </w:rPr>
        <w:t xml:space="preserve">11. Conditionnement, manutention, stockage</w:t>
      </w:r>
    </w:p>
    <w:p>
      <w:pPr/>
      <w:r>
        <w:rPr/>
        <w:t xml:space="preserve">Validé par le Groupe Spécialisé le 17/09/2019</w:t>
      </w:r>
    </w:p>
    <w:p>
      <w:pPr/>
      <w:r>
        <w:rPr>
          <w:b/>
          <w:bCs/>
        </w:rPr>
        <w:t xml:space="preserve">Description</w:t>
      </w:r>
    </w:p>
    <w:p>
      <w:pPr/>
      <w:r>
        <w:rPr/>
        <w:t xml:space="preserve">Préciser les conditions de manutention et stockage.</w:t>
      </w:r>
    </w:p>
    <w:p>
      <w:pPr/>
      <w:r>
        <w:rPr>
          <w:b/>
          <w:bCs/>
        </w:rPr>
        <w:t xml:space="preserve">Justification</w:t>
      </w:r>
    </w:p>
    <w:p>
      <w:pPr/>
      <w:r>
        <w:rPr/>
        <w:t xml:space="preserve">Visite d'usine et chantier.</w:t>
      </w:r>
    </w:p>
    <w:p>
      <w:pPr/>
      <w:r>
        <w:rPr>
          <w:b/>
          <w:bCs/>
        </w:rPr>
        <w:t xml:space="preserve">Critères d'évaluation</w:t>
      </w:r>
    </w:p>
    <w:p>
      <w:pPr/>
      <w:r>
        <w:rPr/>
        <w:t xml:space="preserve">Conformité aux indications du Dossier technique.</w:t>
      </w:r>
    </w:p>
    <w:p>
      <w:pPr/>
      <w:r>
        <w:rPr>
          <w:rStyle w:val="font_h1"/>
        </w:rPr>
        <w:t xml:space="preserve">12. Références</w:t>
      </w:r>
    </w:p>
    <w:p>
      <w:pPr/>
      <w:r>
        <w:rPr/>
        <w:t xml:space="preserve">Validé par le Groupe Spécialisé le 17/09/2019</w:t>
      </w:r>
    </w:p>
    <w:p>
      <w:pPr/>
      <w:r>
        <w:rPr>
          <w:b/>
          <w:bCs/>
        </w:rPr>
        <w:t xml:space="preserve">Description</w:t>
      </w:r>
    </w:p>
    <w:p>
      <w:pPr/>
      <w:r>
        <w:rPr/>
        <w:t xml:space="preserve">Fournir une liste détaillée de références de chantiers </w:t>
      </w:r>
    </w:p>
    <w:p>
      <w:pPr/>
      <w:r>
        <w:rPr/>
        <w:t xml:space="preserve">Supprimer les références aux différentes évaluations européennes pour les dossiers en révision, en particulier dans le paragraphe C (Références) du Dossier Technique. (CR GS n°139 - 15/06/2017)</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6C017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512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9AA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2025-10-24T22:20:01+02:00</dcterms:created>
  <dcterms:modified xsi:type="dcterms:W3CDTF">2025-10-24T22:20:01+02:00</dcterms:modified>
</cp:coreProperties>
</file>

<file path=docProps/custom.xml><?xml version="1.0" encoding="utf-8"?>
<Properties xmlns="http://schemas.openxmlformats.org/officeDocument/2006/custom-properties" xmlns:vt="http://schemas.openxmlformats.org/officeDocument/2006/docPropsVTypes"/>
</file>