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Réseau d'assainissement à double fonction</w:t>
      </w:r>
    </w:p>
    <w:p>
      <w:pPr/>
      <w:r>
        <w:rPr>
          <w:rStyle w:val="font_h1"/>
        </w:rPr>
        <w:t xml:space="preserve">1. Généralités</w:t>
      </w:r>
    </w:p>
    <w:p>
      <w:pPr/>
      <w:r>
        <w:rPr/>
        <w:t xml:space="preserve">Validé par le Groupe Spécialisé le 17/09/2019</w:t>
      </w:r>
    </w:p>
    <w:p>
      <w:pPr/>
      <w:r>
        <w:rPr>
          <w:b/>
          <w:bCs/>
        </w:rPr>
        <w:t xml:space="preserve">Description</w:t>
      </w:r>
    </w:p>
    <w:p>
      <w:pPr/>
      <w:r>
        <w:rPr/>
        <w:t xml:space="preserve">Décrire le principe en rappelant les conditions d’accueil et les principaux composants du procédé.</w:t>
      </w:r>
    </w:p>
    <w:p>
      <w:pPr/>
      <w:r>
        <w:rPr>
          <w:rStyle w:val="font_h1"/>
        </w:rPr>
        <w:t xml:space="preserve">2. Définition des matériaux et mode de fabrication</w:t>
      </w:r>
    </w:p>
    <w:p>
      <w:pPr/>
      <w:r>
        <w:rPr/>
        <w:t xml:space="preserve">Validé par le Groupe Spécialisé le 17/09/2019</w:t>
      </w:r>
    </w:p>
    <w:p>
      <w:pPr/>
      <w:r>
        <w:rPr>
          <w:b/>
          <w:bCs/>
        </w:rPr>
        <w:t xml:space="preserve">Description</w:t>
      </w:r>
    </w:p>
    <w:p>
      <w:pPr/>
      <w:r>
        <w:rPr/>
        <w:t xml:space="preserve">Décrire les principaux composants du procédé (matériaux et mode de fabrication).</w:t>
      </w:r>
    </w:p>
    <w:p>
      <w:pPr/>
      <w:r>
        <w:rPr>
          <w:b/>
          <w:bCs/>
        </w:rPr>
        <w:t xml:space="preserve">Justification</w:t>
      </w:r>
    </w:p>
    <w:p>
      <w:pPr/>
      <w:r>
        <w:rPr/>
        <w:t xml:space="preserve">Visite d'usine, visite d'ouvrage.</w:t>
      </w:r>
    </w:p>
    <w:p>
      <w:pPr/>
      <w:r>
        <w:rPr>
          <w:b/>
          <w:bCs/>
        </w:rPr>
        <w:t xml:space="preserve">Critères d'évaluation</w:t>
      </w:r>
    </w:p>
    <w:p>
      <w:pPr/>
      <w:r>
        <w:rPr/>
        <w:t xml:space="preserve">Adéquation avec les objectifs et conformité au Dossier technique.</w:t>
      </w:r>
    </w:p>
    <w:p>
      <w:pPr/>
      <w:r>
        <w:rPr>
          <w:rStyle w:val="font_h1"/>
        </w:rPr>
        <w:t xml:space="preserve">3. Aptitude à la fonction du réseau après pose</w:t>
      </w:r>
    </w:p>
    <w:p>
      <w:pPr/>
      <w:r>
        <w:rPr/>
        <w:t xml:space="preserve">Validé par le Groupe Spécialisé le 17/09/2019</w:t>
      </w:r>
    </w:p>
    <w:p>
      <w:pPr/>
      <w:r>
        <w:rPr>
          <w:b/>
          <w:bCs/>
        </w:rPr>
        <w:t xml:space="preserve">Description</w:t>
      </w:r>
    </w:p>
    <w:p>
      <w:pPr/>
      <w:r>
        <w:rPr/>
        <w:t xml:space="preserve">Vérifier le maintien des fonctions après mise en œuvre du procédé ou dans quelle mesure elles sont altérées</w:t>
      </w:r>
    </w:p>
    <w:p>
      <w:pPr>
        <w:pPr/>
        <w:numPr>
          <w:ilvl w:val="0"/>
          <w:numId w:val="9"/>
        </w:numPr>
      </w:pPr>
      <w:r>
        <w:rPr/>
        <w:t xml:space="preserve">Capacité d'écoulement</w:t>
      </w:r>
    </w:p>
    <w:p>
      <w:pPr>
        <w:pPr/>
        <w:numPr>
          <w:ilvl w:val="0"/>
          <w:numId w:val="9"/>
        </w:numPr>
      </w:pPr>
      <w:r>
        <w:rPr/>
        <w:t xml:space="preserve">Accroche des macro-déchets</w:t>
      </w:r>
    </w:p>
    <w:p>
      <w:pPr>
        <w:pPr/>
        <w:numPr>
          <w:ilvl w:val="0"/>
          <w:numId w:val="9"/>
        </w:numPr>
      </w:pPr>
      <w:r>
        <w:rPr/>
        <w:t xml:space="preserve">Dépôts</w:t>
      </w:r>
    </w:p>
    <w:p>
      <w:pPr>
        <w:pPr/>
        <w:numPr>
          <w:ilvl w:val="0"/>
          <w:numId w:val="9"/>
        </w:numPr>
      </w:pPr>
      <w:r>
        <w:rPr/>
        <w:t xml:space="preserve">Étanchéité du réseau d'accueil</w:t>
      </w:r>
    </w:p>
    <w:p>
      <w:pPr>
        <w:pPr/>
        <w:numPr>
          <w:ilvl w:val="0"/>
          <w:numId w:val="9"/>
        </w:numPr>
      </w:pPr>
      <w:r>
        <w:rPr/>
        <w:t xml:space="preserve">Résistance mécanique </w:t>
      </w:r>
    </w:p>
    <w:p>
      <w:pPr>
        <w:pPr/>
        <w:numPr>
          <w:ilvl w:val="0"/>
          <w:numId w:val="9"/>
        </w:numPr>
      </w:pPr>
      <w:r>
        <w:rPr/>
        <w:t xml:space="preserve">Accessibilité</w:t>
      </w:r>
    </w:p>
    <w:p>
      <w:pPr>
        <w:pPr/>
        <w:numPr>
          <w:ilvl w:val="0"/>
          <w:numId w:val="9"/>
        </w:numPr>
      </w:pPr>
      <w:r>
        <w:rPr/>
        <w:t xml:space="preserve">Modification de la température des effluents du réseau.</w:t>
      </w:r>
    </w:p>
    <w:p>
      <w:pPr/>
      <w:r>
        <w:rPr>
          <w:b/>
          <w:bCs/>
        </w:rPr>
        <w:t xml:space="preserve">Justification</w:t>
      </w:r>
    </w:p>
    <w:p>
      <w:pPr/>
      <w:r>
        <w:rPr/>
        <w:t xml:space="preserve">Visite d’usine, Visite d’ouvrage, références.</w:t>
      </w:r>
    </w:p>
    <w:p>
      <w:pPr/>
      <w:r>
        <w:rPr>
          <w:b/>
          <w:bCs/>
        </w:rPr>
        <w:t xml:space="preserve">Critères d'évaluation</w:t>
      </w:r>
    </w:p>
    <w:p>
      <w:pPr/>
      <w:r>
        <w:rPr/>
        <w:t xml:space="preserve">Conformité au Dossier Technique.</w:t>
      </w:r>
    </w:p>
    <w:p>
      <w:pPr/>
      <w:r>
        <w:rPr>
          <w:rStyle w:val="font_h1"/>
        </w:rPr>
        <w:t xml:space="preserve">4. Etudes préalables et Conception</w:t>
      </w:r>
    </w:p>
    <w:p>
      <w:pPr/>
      <w:r>
        <w:rPr/>
        <w:t xml:space="preserve">Validé par le Groupe Spécialisé le 17/09/2019</w:t>
      </w:r>
    </w:p>
    <w:p>
      <w:pPr/>
      <w:r>
        <w:rPr>
          <w:b/>
          <w:bCs/>
        </w:rPr>
        <w:t xml:space="preserve">Description</w:t>
      </w:r>
    </w:p>
    <w:p>
      <w:pPr/>
      <w:r>
        <w:rPr/>
        <w:t xml:space="preserve">Préciser le contenu de l’étude préalable pour la faisabilité du projet.</w:t>
      </w:r>
    </w:p>
    <w:p>
      <w:pPr/>
      <w:r>
        <w:rPr>
          <w:b/>
          <w:bCs/>
        </w:rPr>
        <w:t xml:space="preserve">Justification</w:t>
      </w:r>
    </w:p>
    <w:p>
      <w:pPr/>
      <w:r>
        <w:rPr/>
        <w:t xml:space="preserve">Visite d'usine, visite d'ouvrage, références.</w:t>
      </w:r>
    </w:p>
    <w:p>
      <w:pPr/>
      <w:r>
        <w:rPr>
          <w:b/>
          <w:bCs/>
        </w:rPr>
        <w:t xml:space="preserve">Critères d'évaluation</w:t>
      </w:r>
    </w:p>
    <w:p>
      <w:pPr/>
      <w:r>
        <w:rPr/>
        <w:t xml:space="preserve">Conformité au Dossier technique.</w:t>
      </w:r>
    </w:p>
    <w:p>
      <w:pPr/>
      <w:r>
        <w:rPr>
          <w:rStyle w:val="font_h1"/>
        </w:rPr>
        <w:t xml:space="preserve">5. Mise en oeuvre</w:t>
      </w:r>
    </w:p>
    <w:p>
      <w:pPr>
        <w:ind w:left="720" w:right="0"/>
      </w:pPr>
      <w:r>
        <w:rPr>
          <w:rStyle w:val="font_h2"/>
        </w:rPr>
        <w:t xml:space="preserve">5.1. Travaux préalables</w:t>
      </w:r>
    </w:p>
    <w:p>
      <w:pPr/>
      <w:r>
        <w:rPr/>
        <w:t xml:space="preserve">Validé par le Groupe Spécialisé le 17/09/2019</w:t>
      </w:r>
    </w:p>
    <w:p>
      <w:pPr/>
      <w:r>
        <w:rPr>
          <w:b/>
          <w:bCs/>
        </w:rPr>
        <w:t xml:space="preserve">Description</w:t>
      </w:r>
    </w:p>
    <w:p>
      <w:pPr/>
      <w:r>
        <w:rPr/>
        <w:t xml:space="preserve">Préciser les travaux, préalables à la mise en œuvre du procédé, à effectuer.</w:t>
      </w:r>
    </w:p>
    <w:p>
      <w:pPr/>
      <w:r>
        <w:rPr>
          <w:b/>
          <w:bCs/>
        </w:rPr>
        <w:t xml:space="preserve">Justification</w:t>
      </w:r>
    </w:p>
    <w:p>
      <w:pPr/>
      <w:r>
        <w:rPr/>
        <w:t xml:space="preserve">Visite d'ouvrage, références.</w:t>
      </w:r>
    </w:p>
    <w:p>
      <w:pPr/>
      <w:r>
        <w:rPr>
          <w:b/>
          <w:bCs/>
        </w:rPr>
        <w:t xml:space="preserve">Critères d'évaluation</w:t>
      </w:r>
    </w:p>
    <w:p>
      <w:pPr/>
      <w:r>
        <w:rPr/>
        <w:t xml:space="preserve">Conformité au Dossier technique.</w:t>
      </w:r>
    </w:p>
    <w:p>
      <w:pPr>
        <w:ind w:left="720" w:right="0"/>
      </w:pPr>
      <w:r>
        <w:rPr>
          <w:rStyle w:val="font_h2"/>
        </w:rPr>
        <w:t xml:space="preserve">5.2. Mise en oeuvre</w:t>
      </w:r>
    </w:p>
    <w:p>
      <w:pPr/>
      <w:r>
        <w:rPr/>
        <w:t xml:space="preserve">Validé par le Groupe Spécialisé le 17/09/2019</w:t>
      </w:r>
    </w:p>
    <w:p>
      <w:pPr/>
      <w:r>
        <w:rPr>
          <w:b/>
          <w:bCs/>
        </w:rPr>
        <w:t xml:space="preserve">Description</w:t>
      </w:r>
    </w:p>
    <w:p>
      <w:pPr/>
      <w:r>
        <w:rPr/>
        <w:t xml:space="preserve">Préciser les phases principales relatives à la mise en œuvre du procédé.</w:t>
      </w:r>
    </w:p>
    <w:p>
      <w:pPr/>
      <w:r>
        <w:rPr>
          <w:b/>
          <w:bCs/>
        </w:rPr>
        <w:t xml:space="preserve">Justification</w:t>
      </w:r>
    </w:p>
    <w:p>
      <w:pPr/>
      <w:r>
        <w:rPr/>
        <w:t xml:space="preserve">Visite d'ouvrage, références.</w:t>
      </w:r>
    </w:p>
    <w:p>
      <w:pPr/>
      <w:r>
        <w:rPr>
          <w:b/>
          <w:bCs/>
        </w:rPr>
        <w:t xml:space="preserve">Critères d'évaluation</w:t>
      </w:r>
    </w:p>
    <w:p>
      <w:pPr/>
      <w:r>
        <w:rPr/>
        <w:t xml:space="preserve">Conformité au Dossier technique.</w:t>
      </w:r>
    </w:p>
    <w:p>
      <w:pPr/>
      <w:r>
        <w:rPr>
          <w:rStyle w:val="font_h1"/>
        </w:rPr>
        <w:t xml:space="preserve">6. Mise en service</w:t>
      </w:r>
    </w:p>
    <w:p>
      <w:pPr/>
      <w:r>
        <w:rPr/>
        <w:t xml:space="preserve">Validé par le Groupe Spécialisé le 17/09/2019</w:t>
      </w:r>
    </w:p>
    <w:p>
      <w:pPr/>
      <w:r>
        <w:rPr>
          <w:b/>
          <w:bCs/>
        </w:rPr>
        <w:t xml:space="preserve">Description</w:t>
      </w:r>
    </w:p>
    <w:p>
      <w:pPr/>
      <w:r>
        <w:rPr/>
        <w:t xml:space="preserve">Préciser les phases principales relatives à la mise en service du procédé.</w:t>
      </w:r>
    </w:p>
    <w:p>
      <w:pPr/>
      <w:r>
        <w:rPr>
          <w:b/>
          <w:bCs/>
        </w:rPr>
        <w:t xml:space="preserve">Justification</w:t>
      </w:r>
    </w:p>
    <w:p>
      <w:pPr/>
      <w:r>
        <w:rPr/>
        <w:t xml:space="preserve">Visite d'ouvrages, références.</w:t>
      </w:r>
    </w:p>
    <w:p>
      <w:pPr/>
      <w:r>
        <w:rPr>
          <w:b/>
          <w:bCs/>
        </w:rPr>
        <w:t xml:space="preserve">Critères d'évaluation</w:t>
      </w:r>
    </w:p>
    <w:p>
      <w:pPr/>
      <w:r>
        <w:rPr/>
        <w:t xml:space="preserve">Conformité au Dossier technique.</w:t>
      </w:r>
    </w:p>
    <w:p>
      <w:pPr/>
      <w:r>
        <w:rPr>
          <w:rStyle w:val="font_h1"/>
        </w:rPr>
        <w:t xml:space="preserve">7. Réversibilité</w:t>
      </w:r>
    </w:p>
    <w:p>
      <w:pPr/>
      <w:r>
        <w:rPr/>
        <w:t xml:space="preserve">Validé par le Groupe Spécialisé le 17/09/2019</w:t>
      </w:r>
    </w:p>
    <w:p>
      <w:pPr/>
      <w:r>
        <w:rPr>
          <w:b/>
          <w:bCs/>
        </w:rPr>
        <w:t xml:space="preserve">Description</w:t>
      </w:r>
    </w:p>
    <w:p>
      <w:pPr/>
      <w:r>
        <w:rPr/>
        <w:t xml:space="preserve">Préciser le caractère réversible des équipements du nouveau réseau. L’installation peut-elle être démontée sans préjudice des fonctions initiales du réseau ?</w:t>
      </w:r>
    </w:p>
    <w:p>
      <w:pPr/>
      <w:r>
        <w:rPr>
          <w:b/>
          <w:bCs/>
        </w:rPr>
        <w:t xml:space="preserve">Justification</w:t>
      </w:r>
    </w:p>
    <w:p>
      <w:pPr/>
      <w:r>
        <w:rPr/>
        <w:t xml:space="preserve">Analyse du procédé.</w:t>
      </w:r>
    </w:p>
    <w:p>
      <w:pPr/>
      <w:r>
        <w:rPr>
          <w:b/>
          <w:bCs/>
        </w:rPr>
        <w:t xml:space="preserve">Critères d'évaluation</w:t>
      </w:r>
    </w:p>
    <w:p>
      <w:pPr/>
      <w:r>
        <w:rPr/>
        <w:t xml:space="preserve">Conformité au Dossier technique</w:t>
      </w:r>
    </w:p>
    <w:p>
      <w:pPr/>
      <w:r>
        <w:rPr>
          <w:rStyle w:val="font_h1"/>
        </w:rPr>
        <w:t xml:space="preserve">8. Entretien et Maintenance</w:t>
      </w:r>
    </w:p>
    <w:p>
      <w:pPr/>
      <w:r>
        <w:rPr/>
        <w:t xml:space="preserve">Validé par le Groupe Spécialisé le 17/09/2019</w:t>
      </w:r>
    </w:p>
    <w:p>
      <w:pPr/>
      <w:r>
        <w:rPr>
          <w:b/>
          <w:bCs/>
        </w:rPr>
        <w:t xml:space="preserve">Description</w:t>
      </w:r>
    </w:p>
    <w:p>
      <w:pPr/>
      <w:r>
        <w:rPr/>
        <w:t xml:space="preserve">Préciser les conditions d’entretien du réseau : faisabilité modifications éventuelles des fréquences, compatibilité des outils d’entretien (curage…).</w:t>
      </w:r>
    </w:p>
    <w:p>
      <w:pPr/>
      <w:r>
        <w:rPr>
          <w:b/>
          <w:bCs/>
        </w:rPr>
        <w:t xml:space="preserve">Justification</w:t>
      </w:r>
    </w:p>
    <w:p>
      <w:pPr/>
      <w:r>
        <w:rPr/>
        <w:t xml:space="preserve">Analyse du procédé, rapport d'essai.</w:t>
      </w:r>
    </w:p>
    <w:p>
      <w:pPr/>
      <w:r>
        <w:rPr>
          <w:b/>
          <w:bCs/>
        </w:rPr>
        <w:t xml:space="preserve">Critères d'évaluation</w:t>
      </w:r>
    </w:p>
    <w:p>
      <w:pPr/>
      <w:r>
        <w:rPr/>
        <w:t xml:space="preserve">Conformité au Dossier technique.</w:t>
      </w:r>
    </w:p>
    <w:p>
      <w:pPr/>
      <w:r>
        <w:rPr>
          <w:rStyle w:val="font_h1"/>
        </w:rPr>
        <w:t xml:space="preserve">9. Mode d'exploitation commerciale du procédé</w:t>
      </w:r>
    </w:p>
    <w:p>
      <w:pPr/>
      <w:r>
        <w:rPr/>
        <w:t xml:space="preserve">Validé par le Groupe Spécialisé le 17/09/2019</w:t>
      </w:r>
    </w:p>
    <w:p>
      <w:pPr/>
      <w:r>
        <w:rPr>
          <w:b/>
          <w:bCs/>
        </w:rPr>
        <w:t xml:space="preserve">Description</w:t>
      </w:r>
    </w:p>
    <w:p>
      <w:pPr/>
      <w:r>
        <w:rPr/>
        <w:t xml:space="preserve">Préciser le mode d’exploitation commercial du procédé.</w:t>
      </w:r>
    </w:p>
    <w:p>
      <w:pPr/>
      <w:r>
        <w:rPr>
          <w:b/>
          <w:bCs/>
        </w:rPr>
        <w:t xml:space="preserve">Critères d'évaluation</w:t>
      </w:r>
    </w:p>
    <w:p>
      <w:pPr/>
      <w:r>
        <w:rPr/>
        <w:t xml:space="preserve">Conformité au Dossier technique.</w:t>
      </w:r>
    </w:p>
    <w:p>
      <w:pPr/>
      <w:r>
        <w:rPr>
          <w:rStyle w:val="font_h1"/>
        </w:rPr>
        <w:t xml:space="preserve">10. Contrôles qualité</w:t>
      </w:r>
    </w:p>
    <w:p>
      <w:pPr>
        <w:ind w:left="720" w:right="0"/>
      </w:pPr>
      <w:r>
        <w:rPr>
          <w:rStyle w:val="font_h2"/>
        </w:rPr>
        <w:t xml:space="preserve">10.1. Contrôles réalisés par le fournisseur</w:t>
      </w:r>
    </w:p>
    <w:p>
      <w:pPr/>
      <w:r>
        <w:rPr/>
        <w:t xml:space="preserve">Validé par le Groupe Spécialisé le 17/09/2019</w:t>
      </w:r>
    </w:p>
    <w:p>
      <w:pPr/>
      <w:r>
        <w:rPr>
          <w:b/>
          <w:bCs/>
        </w:rPr>
        <w:t xml:space="preserve">Description</w:t>
      </w:r>
    </w:p>
    <w:p>
      <w:pPr/>
      <w:r>
        <w:rPr/>
        <w:t xml:space="preserve">Lister les contrôles réalisés par le fournisseur et qui portent sur les composants qui impactent le réseau d’accueil.</w:t>
      </w:r>
    </w:p>
    <w:p>
      <w:pPr/>
      <w:r>
        <w:rPr>
          <w:b/>
          <w:bCs/>
        </w:rPr>
        <w:t xml:space="preserve">Critères d'évaluation</w:t>
      </w:r>
    </w:p>
    <w:p>
      <w:pPr/>
      <w:r>
        <w:rPr/>
        <w:t xml:space="preserve">Conformité au Dossier technique.</w:t>
      </w:r>
    </w:p>
    <w:p>
      <w:pPr>
        <w:ind w:left="720" w:right="0"/>
      </w:pPr>
      <w:r>
        <w:rPr>
          <w:rStyle w:val="font_h2"/>
        </w:rPr>
        <w:t xml:space="preserve">10.2. Contrôles réalisés par le titulaire</w:t>
      </w:r>
    </w:p>
    <w:p>
      <w:pPr/>
      <w:r>
        <w:rPr/>
        <w:t xml:space="preserve">Validé par le Groupe Spécialisé le 17/09/2019</w:t>
      </w:r>
    </w:p>
    <w:p>
      <w:pPr/>
      <w:r>
        <w:rPr>
          <w:b/>
          <w:bCs/>
        </w:rPr>
        <w:t xml:space="preserve">Description</w:t>
      </w:r>
    </w:p>
    <w:p>
      <w:pPr/>
      <w:r>
        <w:rPr/>
        <w:t xml:space="preserve">Lister les contrôles réalisés par le titulaire.</w:t>
      </w:r>
    </w:p>
    <w:p>
      <w:pPr/>
      <w:r>
        <w:rPr>
          <w:b/>
          <w:bCs/>
        </w:rPr>
        <w:t xml:space="preserve">Critères d'évaluation</w:t>
      </w:r>
    </w:p>
    <w:p>
      <w:pPr/>
      <w:r>
        <w:rPr/>
        <w:t xml:space="preserve">Conformité au Dossier Technique</w:t>
      </w:r>
    </w:p>
    <w:p>
      <w:pPr>
        <w:pPr/>
        <w:numPr>
          <w:ilvl w:val="0"/>
          <w:numId w:val="10"/>
        </w:numPr>
      </w:pPr>
      <w:r>
        <w:rPr/>
        <w:t xml:space="preserve">Commande</w:t>
      </w:r>
    </w:p>
    <w:p>
      <w:pPr>
        <w:pPr/>
        <w:numPr>
          <w:ilvl w:val="0"/>
          <w:numId w:val="10"/>
        </w:numPr>
      </w:pPr>
      <w:r>
        <w:rPr/>
        <w:t xml:space="preserve">Contrôle à réception</w:t>
      </w:r>
    </w:p>
    <w:p>
      <w:pPr>
        <w:pPr/>
        <w:numPr>
          <w:ilvl w:val="0"/>
          <w:numId w:val="10"/>
        </w:numPr>
      </w:pPr>
      <w:r>
        <w:rPr/>
        <w:t xml:space="preserve">Mise en œuvre</w:t>
      </w:r>
    </w:p>
    <w:p>
      <w:pPr>
        <w:pPr/>
        <w:numPr>
          <w:ilvl w:val="0"/>
          <w:numId w:val="10"/>
        </w:numPr>
      </w:pPr>
      <w:r>
        <w:rPr/>
        <w:t xml:space="preserve">Contrôles réalisés à la mise en service</w:t>
      </w:r>
    </w:p>
    <w:p>
      <w:pPr>
        <w:pPr/>
        <w:numPr>
          <w:ilvl w:val="0"/>
          <w:numId w:val="10"/>
        </w:numPr>
      </w:pPr>
      <w:r>
        <w:rPr/>
        <w:t xml:space="preserve">Archivage des données</w:t>
      </w:r>
    </w:p>
    <w:p>
      <w:pPr>
        <w:ind w:left="720" w:right="0"/>
      </w:pPr>
      <w:r>
        <w:rPr>
          <w:rStyle w:val="font_h2"/>
        </w:rPr>
        <w:t xml:space="preserve">10.3. Contrôles externes</w:t>
      </w:r>
    </w:p>
    <w:p>
      <w:pPr>
        <w:ind w:left="1440" w:right="0"/>
      </w:pPr>
      <w:r>
        <w:rPr>
          <w:rStyle w:val="font_h3"/>
        </w:rPr>
        <w:t xml:space="preserve">10.3.1. Système qualité</w:t>
      </w:r>
    </w:p>
    <w:p>
      <w:pPr/>
      <w:r>
        <w:rPr/>
        <w:t xml:space="preserve">Validé par le Groupe Spécialisé le 17/09/2019</w:t>
      </w:r>
    </w:p>
    <w:p>
      <w:pPr/>
      <w:r>
        <w:rPr>
          <w:b/>
          <w:bCs/>
        </w:rPr>
        <w:t xml:space="preserve">Description</w:t>
      </w:r>
    </w:p>
    <w:p>
      <w:pPr/>
      <w:r>
        <w:rPr/>
        <w:t xml:space="preserve">La mise en œuvre du procédé XXXX doit être réalisée dans le cadre d’un Plan d’Assurance Qualité.</w:t>
      </w:r>
    </w:p>
    <w:p>
      <w:pPr/>
      <w:r>
        <w:rPr>
          <w:b/>
          <w:bCs/>
        </w:rPr>
        <w:t xml:space="preserve">Justification</w:t>
      </w:r>
    </w:p>
    <w:p>
      <w:pPr/>
      <w:r>
        <w:rPr/>
        <w:t xml:space="preserve">Visite d’usine, Registres, PAQ.</w:t>
      </w:r>
    </w:p>
    <w:p>
      <w:pPr/>
      <w:r>
        <w:rPr>
          <w:b/>
          <w:bCs/>
        </w:rPr>
        <w:t xml:space="preserve">Critères d'évaluation</w:t>
      </w:r>
    </w:p>
    <w:p>
      <w:pPr/>
      <w:r>
        <w:rPr/>
        <w:t xml:space="preserve">Conformité au Dossier technique.</w:t>
      </w:r>
    </w:p>
    <w:p>
      <w:pPr>
        <w:ind w:left="1440" w:right="0"/>
      </w:pPr>
      <w:r>
        <w:rPr>
          <w:rStyle w:val="font_h3"/>
        </w:rPr>
        <w:t xml:space="preserve">10.3.2. Contrôle externe</w:t>
      </w:r>
    </w:p>
    <w:p>
      <w:pPr/>
      <w:r>
        <w:rPr/>
        <w:t xml:space="preserve">Validé par le Groupe Spécialisé le 17/09/2019</w:t>
      </w:r>
    </w:p>
    <w:p>
      <w:pPr/>
      <w:r>
        <w:rPr>
          <w:b/>
          <w:bCs/>
        </w:rPr>
        <w:t xml:space="preserve">Description</w:t>
      </w:r>
    </w:p>
    <w:p>
      <w:pPr/>
      <w:r>
        <w:rPr/>
        <w:t xml:space="preserve">Les réseaux à double fonction ne font pas l’objet de marque de qualité mais d’un suivi d’Avis Technique dont l’objet est de vérifier l’absence d’impact du deuxième réseau sur le réseau d’accueil (1 par an).</w:t>
      </w:r>
    </w:p>
    <w:p>
      <w:pPr/>
      <w:r>
        <w:rPr>
          <w:b/>
          <w:bCs/>
        </w:rPr>
        <w:t xml:space="preserve">Critères d'évaluation</w:t>
      </w:r>
    </w:p>
    <w:p>
      <w:pPr/>
      <w:r>
        <w:rPr/>
        <w:t xml:space="preserve">Evaluation de la marque revendiquée (indépendance, lisibilité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C96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D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2025-12-10T05:38:33+01:00</dcterms:created>
  <dcterms:modified xsi:type="dcterms:W3CDTF">2025-12-10T05:38:33+01:00</dcterms:modified>
</cp:coreProperties>
</file>

<file path=docProps/custom.xml><?xml version="1.0" encoding="utf-8"?>
<Properties xmlns="http://schemas.openxmlformats.org/officeDocument/2006/custom-properties" xmlns:vt="http://schemas.openxmlformats.org/officeDocument/2006/docPropsVTypes"/>
</file>