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Etanchéité de bassin sous carrelage</w:t>
      </w:r>
    </w:p>
    <w:p>
      <w:pPr/>
      <w:r>
        <w:rPr>
          <w:rStyle w:val="font_h1"/>
        </w:rPr>
        <w:t xml:space="preserve">1. Description</w:t>
      </w:r>
    </w:p>
    <w:p>
      <w:pPr/>
      <w:r>
        <w:rPr>
          <w:rStyle w:val="font_h1"/>
        </w:rPr>
        <w:t xml:space="preserve">2. Domaine d'emploi</w:t>
      </w:r>
    </w:p>
    <w:p>
      <w:pPr>
        <w:ind w:left="720" w:right="0"/>
      </w:pPr>
      <w:r>
        <w:rPr>
          <w:rStyle w:val="font_h2"/>
        </w:rPr>
        <w:t xml:space="preserve">2.1. Supports visés</w:t>
      </w:r>
    </w:p>
    <w:p>
      <w:pPr>
        <w:ind w:left="1440" w:right="0"/>
      </w:pPr>
      <w:r>
        <w:rPr>
          <w:rStyle w:val="font_h3"/>
        </w:rPr>
        <w:t xml:space="preserve">2.1.1. Bassins</w:t>
      </w:r>
    </w:p>
    <w:p>
      <w:pPr/>
      <w:r>
        <w:rPr/>
        <w:t xml:space="preserve">Validé par le Groupe Spécialisé le 04/02/2020</w:t>
      </w:r>
    </w:p>
    <w:p>
      <w:pPr/>
      <w:r>
        <w:rPr>
          <w:b/>
          <w:bCs/>
        </w:rPr>
        <w:t xml:space="preserve">Description</w:t>
      </w:r>
    </w:p>
    <w:p>
      <w:pPr/>
      <w:r>
        <w:rPr/>
        <w:t xml:space="preserve">La mise en oeuvre sur ancien carrelage est possible à la condition qu'aucune étanchéité ne soit présente sous ce dernier.</w:t>
      </w:r>
    </w:p>
    <w:p>
      <w:pPr/>
      <w:r>
        <w:rPr>
          <w:b/>
          <w:bCs/>
        </w:rPr>
        <w:t xml:space="preserve">Justification</w:t>
      </w:r>
    </w:p>
    <w:p>
      <w:pPr/>
      <w:r>
        <w:rPr/>
        <w:t xml:space="preserve">Jurisprudence du GS du 04/02/2020</w:t>
      </w:r>
    </w:p>
    <w:p>
      <w:pPr>
        <w:ind w:left="1440" w:right="0"/>
      </w:pPr>
      <w:r>
        <w:rPr>
          <w:rStyle w:val="font_h3"/>
        </w:rPr>
        <w:t xml:space="preserve">2.1.2. Plages</w:t>
      </w:r>
    </w:p>
    <w:p>
      <w:pPr/>
      <w:r>
        <w:rPr/>
        <w:t xml:space="preserve">Validé par le Groupe Spécialisé le 04/02/2020</w:t>
      </w:r>
    </w:p>
    <w:p>
      <w:pPr/>
      <w:r>
        <w:rPr>
          <w:b/>
          <w:bCs/>
        </w:rPr>
        <w:t xml:space="preserve">Description</w:t>
      </w:r>
    </w:p>
    <w:p>
      <w:pPr/>
      <w:r>
        <w:rPr/>
        <w:t xml:space="preserve">La mise en oeuvre sur ancien carrelage est possible à la condition qu'aucune étanchéité ne soit présente sous ce dernier.</w:t>
      </w:r>
    </w:p>
    <w:p>
      <w:pPr/>
      <w:r>
        <w:rPr>
          <w:b/>
          <w:bCs/>
        </w:rPr>
        <w:t xml:space="preserve">Justification</w:t>
      </w:r>
    </w:p>
    <w:p>
      <w:pPr/>
      <w:r>
        <w:rPr/>
        <w:t xml:space="preserve">Jurisprudence du GS du 04/02/2020</w:t>
      </w:r>
    </w:p>
    <w:p>
      <w:pPr>
        <w:ind w:left="720" w:right="0"/>
      </w:pPr>
      <w:r>
        <w:rPr>
          <w:rStyle w:val="font_h2"/>
        </w:rPr>
        <w:t xml:space="preserve">2.2. Qualité de l'eau du bassin</w:t>
      </w:r>
    </w:p>
    <w:p>
      <w:pPr/>
      <w:r>
        <w:rPr/>
        <w:t xml:space="preserve">Validé par le Groupe Spécialisé le 25/06/2019</w:t>
      </w:r>
    </w:p>
    <w:p>
      <w:pPr/>
      <w:r>
        <w:rPr>
          <w:b/>
          <w:bCs/>
        </w:rPr>
        <w:t xml:space="preserve">Description</w:t>
      </w:r>
    </w:p>
    <w:p>
      <w:pPr/>
      <w:r>
        <w:rPr/>
        <w:t xml:space="preserve">Le Groupe Spécialisé n° 13 a émis une jurisprudence concernant la qualité de l’eau des bassins. Dorénavant, au Dossier Technique et en remarque complémentaire du groupe, il sera précisé que dans le cas où le TH de l’eau est inférieur à 15 degrés français, un risque de décalcification des joints à base de ciment existe.</w:t>
      </w:r>
    </w:p>
    <w:p>
      <w:pPr>
        <w:ind w:left="720" w:right="0"/>
      </w:pPr>
      <w:r>
        <w:rPr>
          <w:rStyle w:val="font_h2"/>
        </w:rPr>
        <w:t xml:space="preserve">2.3. Carreaux associés</w:t>
      </w:r>
    </w:p>
    <w:p>
      <w:pPr/>
      <w:r>
        <w:rPr/>
        <w:t xml:space="preserve">Validé par le Groupe Spécialisé le 04/06/2020</w:t>
      </w:r>
    </w:p>
    <w:p>
      <w:pPr/>
      <w:r>
        <w:rPr>
          <w:b/>
          <w:bCs/>
        </w:rPr>
        <w:t xml:space="preserve">Description</w:t>
      </w:r>
    </w:p>
    <w:p>
      <w:pPr/>
      <w:r>
        <w:rPr/>
        <w:t xml:space="preserve">Les formats de carreaux compris entre 2200 et 3600 cm² ne pourront être mis en œuvre que sous réserve de fournir 5 références chantiers réalisés par 3 entreprises différentes (500m² minimum au total).</w:t>
      </w:r>
    </w:p>
    <w:p>
      <w:pPr/>
      <w:r>
        <w:rPr>
          <w:b/>
          <w:bCs/>
        </w:rPr>
        <w:t xml:space="preserve">Justification</w:t>
      </w:r>
    </w:p>
    <w:p>
      <w:pPr/>
      <w:r>
        <w:rPr/>
        <w:t xml:space="preserve">Le Groupe a émis une jurisprudence concernant la mise en œuvre de carreaux de formats jusqu’à 3600 cm².Dorénavant, pour revendiquer cet emploi, il est demandé de présenter a minima 500 m² de références chantiers dans cette configuration avec au moins 5 références de chantiers et 3 entreprises de pose différentes. Si ces éléments ne peuvent être présentés au Groupe, le format de carreaux maximal visé sera de 2200 cm².</w:t>
      </w:r>
    </w:p>
    <w:p>
      <w:pPr/>
      <w:r>
        <w:rPr>
          <w:rStyle w:val="font_h1"/>
        </w:rPr>
        <w:t xml:space="preserve">3. Matériaux</w:t>
      </w:r>
    </w:p>
    <w:p>
      <w:pPr>
        <w:ind w:left="720" w:right="0"/>
      </w:pPr>
      <w:r>
        <w:rPr>
          <w:rStyle w:val="font_h2"/>
        </w:rPr>
        <w:t xml:space="preserve">3.1. Procédé</w:t>
      </w:r>
    </w:p>
    <w:p>
      <w:pPr>
        <w:ind w:left="1440" w:right="0"/>
      </w:pPr>
      <w:r>
        <w:rPr>
          <w:rStyle w:val="font_h3"/>
        </w:rPr>
        <w:t xml:space="preserve">3.1.1. Poudre</w:t>
      </w:r>
    </w:p>
    <w:p>
      <w:pPr>
        <w:ind w:left="1440" w:right="0"/>
      </w:pPr>
      <w:r>
        <w:rPr>
          <w:rStyle w:val="font_h3"/>
        </w:rPr>
        <w:t xml:space="preserve">3.1.2. Latex</w:t>
      </w:r>
    </w:p>
    <w:p>
      <w:pPr>
        <w:ind w:left="720" w:right="0"/>
      </w:pPr>
      <w:r>
        <w:rPr>
          <w:rStyle w:val="font_h2"/>
        </w:rPr>
        <w:t xml:space="preserve">3.2. Colles à carrelage</w:t>
      </w:r>
    </w:p>
    <w:p>
      <w:pPr/>
      <w:r>
        <w:rPr/>
        <w:t xml:space="preserve">Validé par le Groupe Spécialisé le 06/07/2021</w:t>
      </w:r>
    </w:p>
    <w:p>
      <w:pPr/>
      <w:r>
        <w:rPr>
          <w:b/>
          <w:bCs/>
        </w:rPr>
        <w:t xml:space="preserve">Description</w:t>
      </w:r>
    </w:p>
    <w:p>
      <w:pPr/>
      <w:r>
        <w:rPr/>
        <w:t xml:space="preserve">Pour envisager de viser dans le dossier deux taux de gâchage pour un mortier-colle certifié en tant que tel, il convient de réaliser l'ensemble des essais avec les deux taux de gâchages certifiés.</w:t>
      </w:r>
    </w:p>
    <w:p>
      <w:pPr>
        <w:ind w:left="720" w:right="0"/>
      </w:pPr>
      <w:r>
        <w:rPr>
          <w:rStyle w:val="font_h2"/>
        </w:rPr>
        <w:t xml:space="preserve">3.3. Produits de jointoiement du revêtement céramique</w:t>
      </w:r>
    </w:p>
    <w:p>
      <w:pPr/>
      <w:r>
        <w:rPr/>
        <w:t xml:space="preserve">Validé par le Groupe Spécialisé le 24/06/2021</w:t>
      </w:r>
    </w:p>
    <w:p>
      <w:pPr/>
      <w:r>
        <w:rPr>
          <w:b/>
          <w:bCs/>
        </w:rPr>
        <w:t xml:space="preserve">Description</w:t>
      </w:r>
    </w:p>
    <w:p>
      <w:pPr/>
      <w:r>
        <w:rPr/>
        <w:t xml:space="preserve">Il convient de citer nommément dans les dossiers les joints de carrelage utilisables avec le système d'étanchéité.</w:t>
      </w:r>
    </w:p>
    <w:p>
      <w:pPr>
        <w:ind w:left="720" w:right="0"/>
      </w:pPr>
      <w:r>
        <w:rPr>
          <w:rStyle w:val="font_h2"/>
        </w:rPr>
        <w:t xml:space="preserve">3.4. Produits connexes</w:t>
      </w:r>
    </w:p>
    <w:p>
      <w:pPr>
        <w:ind w:left="1440" w:right="0"/>
      </w:pPr>
      <w:r>
        <w:rPr>
          <w:rStyle w:val="font_h3"/>
        </w:rPr>
        <w:t xml:space="preserve">3.4.1. Préparation du support</w:t>
      </w:r>
    </w:p>
    <w:p>
      <w:pPr>
        <w:ind w:left="2160" w:right="0"/>
      </w:pPr>
      <w:r>
        <w:rPr>
          <w:rStyle w:val="font_h3"/>
        </w:rPr>
        <w:t xml:space="preserve">3.4.1.1. Primaire - adjuvant</w:t>
      </w:r>
    </w:p>
    <w:p>
      <w:pPr>
        <w:ind w:left="2160" w:right="0"/>
      </w:pPr>
      <w:r>
        <w:rPr>
          <w:rStyle w:val="font_h3"/>
        </w:rPr>
        <w:t xml:space="preserve">3.4.1.2. Mortiers de réparation, ragréage et égalisation</w:t>
      </w:r>
    </w:p>
    <w:p>
      <w:pPr>
        <w:ind w:left="2160" w:right="0"/>
      </w:pPr>
      <w:r>
        <w:rPr>
          <w:rStyle w:val="font_h3"/>
        </w:rPr>
        <w:t xml:space="preserve">3.4.1.3. Traitement des fissures</w:t>
      </w:r>
    </w:p>
    <w:p>
      <w:pPr>
        <w:ind w:left="2160" w:right="0"/>
      </w:pPr>
      <w:r>
        <w:rPr>
          <w:rStyle w:val="font_h3"/>
        </w:rPr>
        <w:t xml:space="preserve">3.4.1.4. Corrosion des aciers</w:t>
      </w:r>
    </w:p>
    <w:p>
      <w:pPr>
        <w:ind w:left="1440" w:right="0"/>
      </w:pPr>
      <w:r>
        <w:rPr>
          <w:rStyle w:val="font_h3"/>
        </w:rPr>
        <w:t xml:space="preserve">3.4.2. Scellement - calage</w:t>
      </w:r>
    </w:p>
    <w:p>
      <w:pPr>
        <w:ind w:left="1440" w:right="0"/>
      </w:pPr>
      <w:r>
        <w:rPr>
          <w:rStyle w:val="font_h3"/>
        </w:rPr>
        <w:t xml:space="preserve">3.4.3. Accessoires d'étanchéité</w:t>
      </w:r>
    </w:p>
    <w:p>
      <w:pPr>
        <w:ind w:left="1440" w:right="0"/>
      </w:pPr>
      <w:r>
        <w:rPr>
          <w:rStyle w:val="font_h3"/>
        </w:rPr>
        <w:t xml:space="preserve">3.4.4. Mastics d'étanchéité</w:t>
      </w:r>
    </w:p>
    <w:p>
      <w:pPr>
        <w:ind w:left="1440" w:right="0"/>
      </w:pPr>
      <w:r>
        <w:rPr>
          <w:rStyle w:val="font_h3"/>
        </w:rPr>
        <w:t xml:space="preserve">3.4.5. Dispositifs d'évacuation</w:t>
      </w:r>
    </w:p>
    <w:p>
      <w:pPr/>
      <w:r>
        <w:rPr>
          <w:rStyle w:val="font_h1"/>
        </w:rPr>
        <w:t xml:space="preserve">4. Fabrication - contrôle</w:t>
      </w:r>
    </w:p>
    <w:p>
      <w:pPr/>
      <w:r>
        <w:rPr>
          <w:rStyle w:val="font_h1"/>
        </w:rPr>
        <w:t xml:space="preserve">5. Mise en oeuvre</w:t>
      </w:r>
    </w:p>
    <w:p>
      <w:pPr>
        <w:ind w:left="720" w:right="0"/>
      </w:pPr>
      <w:r>
        <w:rPr>
          <w:rStyle w:val="font_h2"/>
        </w:rPr>
        <w:t xml:space="preserve">5.1. Reconnaissance du support</w:t>
      </w:r>
    </w:p>
    <w:p>
      <w:pPr>
        <w:ind w:left="1440" w:right="0"/>
      </w:pPr>
      <w:r>
        <w:rPr>
          <w:rStyle w:val="font_h3"/>
        </w:rPr>
        <w:t xml:space="preserve">5.1.1. Préparation du béton</w:t>
      </w:r>
    </w:p>
    <w:p>
      <w:pPr>
        <w:ind w:left="2160" w:right="0"/>
      </w:pPr>
      <w:r>
        <w:rPr>
          <w:rStyle w:val="font_h3"/>
        </w:rPr>
        <w:t xml:space="preserve">5.1.1.1. Travaux neufs</w:t>
      </w:r>
    </w:p>
    <w:p>
      <w:pPr>
        <w:ind w:left="2160" w:right="0"/>
      </w:pPr>
      <w:r>
        <w:rPr>
          <w:rStyle w:val="font_h3"/>
        </w:rPr>
        <w:t xml:space="preserve">5.1.1.2. Travaux de rénovation</w:t>
      </w:r>
    </w:p>
    <w:p>
      <w:pPr>
        <w:ind w:left="1440" w:right="0"/>
      </w:pPr>
      <w:r>
        <w:rPr>
          <w:rStyle w:val="font_h3"/>
        </w:rPr>
        <w:t xml:space="preserve">5.1.2. Etat de surface</w:t>
      </w:r>
    </w:p>
    <w:p>
      <w:pPr>
        <w:ind w:left="1440" w:right="0"/>
      </w:pPr>
      <w:r>
        <w:rPr>
          <w:rStyle w:val="font_h3"/>
        </w:rPr>
        <w:t xml:space="preserve">5.1.3. Planéité et pente</w:t>
      </w:r>
    </w:p>
    <w:p>
      <w:pPr/>
      <w:r>
        <w:rPr/>
        <w:t xml:space="preserve">Validé par le Groupe Spécialisé le 03/12/2020</w:t>
      </w:r>
    </w:p>
    <w:p>
      <w:pPr/>
      <w:r>
        <w:rPr>
          <w:b/>
          <w:bCs/>
        </w:rPr>
        <w:t xml:space="preserve">Description</w:t>
      </w:r>
    </w:p>
    <w:p>
      <w:pPr/>
      <w:r>
        <w:rPr/>
        <w:t xml:space="preserve">Un plan de pente doit être établi par le Maître d’œuvre. Les pentes doivent respecter les prescriptions des DPM.Les pentes minimales à respecter sont les suivantes : </w:t>
      </w:r>
    </w:p>
    <w:p>
      <w:pPr>
        <w:pPr/>
        <w:numPr>
          <w:ilvl w:val="0"/>
          <w:numId w:val="9"/>
        </w:numPr>
      </w:pPr>
      <w:r>
        <w:rPr/>
        <w:t xml:space="preserve">L’article A.322-21 du code du sport prévoit « pour éviter la stagnation de l’eau, les pentes sont comprises entre 3 et 5 %. » </w:t>
      </w:r>
    </w:p>
    <w:p>
      <w:pPr>
        <w:pPr/>
        <w:numPr>
          <w:ilvl w:val="0"/>
          <w:numId w:val="9"/>
        </w:numPr>
      </w:pPr>
      <w:r>
        <w:rPr/>
        <w:t xml:space="preserve">Des exigences complémentaires quant à l’accessibilité de Personnes à Mobilité Réduite sont précisées dans les textes réglementaires régissant la conception de ces ouvrages.</w:t>
      </w:r>
    </w:p>
    <w:p>
      <w:pPr>
        <w:pPr/>
        <w:numPr>
          <w:ilvl w:val="0"/>
          <w:numId w:val="9"/>
        </w:numPr>
      </w:pPr>
      <w:r>
        <w:rPr/>
        <w:t xml:space="preserve">L’article 5.5.2 de la norme NF EN 15288-1 « exigences de sécurité pour la conception » demande des pentes comprises entre 2 et 5 %.</w:t>
      </w:r>
    </w:p>
    <w:p>
      <w:pPr>
        <w:pPr/>
        <w:numPr>
          <w:ilvl w:val="0"/>
          <w:numId w:val="9"/>
        </w:numPr>
      </w:pPr>
      <w:r>
        <w:rPr/>
        <w:t xml:space="preserve">Pour éviter la stagnation d’eau entre les siphons, la noue doit avoir une pente minimale de 0,5 % (annexe C de la NF P 10-203- 1).</w:t>
      </w:r>
    </w:p>
    <w:p>
      <w:pPr>
        <w:pPr/>
        <w:numPr>
          <w:ilvl w:val="0"/>
          <w:numId w:val="9"/>
        </w:numPr>
      </w:pPr>
      <w:r>
        <w:rPr/>
        <w:t xml:space="preserve">La pente du sol des douches et vestiaires doit être une pente minimale de 1%.</w:t>
      </w:r>
    </w:p>
    <w:p>
      <w:pPr/>
      <w:r>
        <w:rPr/>
        <w:t xml:space="preserve">Pour respecter le code du sport et l’accès PMR, les DPM doivent définir un plan de pentes conciliant les deux exigences par exemple : les pentes de plages devront être comprises entre 3 et 5 % et comprendront un cheminement jusqu’au bassin, identifié et accessible aux personnes handicapées dont le devers sera inférieur à 2 %.Nota : Les pentes de noue inférieure à 2 % peuvent conduire à des stagnations d’eau et à des problèmes de sécurité et d’hygiène.</w:t>
      </w:r>
    </w:p>
    <w:p>
      <w:pPr>
        <w:ind w:left="1440" w:right="0"/>
      </w:pPr>
      <w:r>
        <w:rPr>
          <w:rStyle w:val="font_h3"/>
        </w:rPr>
        <w:t xml:space="preserve">5.1.4. Traitement des fissures passives</w:t>
      </w:r>
    </w:p>
    <w:p>
      <w:pPr>
        <w:ind w:left="1440" w:right="0"/>
      </w:pPr>
      <w:r>
        <w:rPr>
          <w:rStyle w:val="font_h3"/>
        </w:rPr>
        <w:t xml:space="preserve">5.1.5. Traitement des aciers</w:t>
      </w:r>
    </w:p>
    <w:p>
      <w:pPr>
        <w:ind w:left="1440" w:right="0"/>
      </w:pPr>
      <w:r>
        <w:rPr>
          <w:rStyle w:val="font_h3"/>
        </w:rPr>
        <w:t xml:space="preserve">5.1.6. Réparation</w:t>
      </w:r>
    </w:p>
    <w:p>
      <w:pPr>
        <w:ind w:left="1440" w:right="0"/>
      </w:pPr>
      <w:r>
        <w:rPr>
          <w:rStyle w:val="font_h3"/>
        </w:rPr>
        <w:t xml:space="preserve">5.1.7. Traitement des angles et des relevés fond e bassin / parois verticales</w:t>
      </w:r>
    </w:p>
    <w:p>
      <w:pPr>
        <w:ind w:left="720" w:right="0"/>
      </w:pPr>
      <w:r>
        <w:rPr>
          <w:rStyle w:val="font_h2"/>
        </w:rPr>
        <w:t xml:space="preserve">5.2. Travaux préparatoires</w:t>
      </w:r>
    </w:p>
    <w:p>
      <w:pPr>
        <w:ind w:left="1440" w:right="0"/>
      </w:pPr>
      <w:r>
        <w:rPr>
          <w:rStyle w:val="font_h3"/>
        </w:rPr>
        <w:t xml:space="preserve">5.2.1. Mise en eau préliminaire</w:t>
      </w:r>
    </w:p>
    <w:p>
      <w:pPr>
        <w:ind w:left="1440" w:right="0"/>
      </w:pPr>
      <w:r>
        <w:rPr>
          <w:rStyle w:val="font_h3"/>
        </w:rPr>
        <w:t xml:space="preserve">5.2.2. Conditions de mise en oeuvre</w:t>
      </w:r>
    </w:p>
    <w:p>
      <w:pPr>
        <w:ind w:left="720" w:right="0"/>
      </w:pPr>
      <w:r>
        <w:rPr>
          <w:rStyle w:val="font_h2"/>
        </w:rPr>
        <w:t xml:space="preserve">5.3. Préparation du mélange</w:t>
      </w:r>
    </w:p>
    <w:p>
      <w:pPr>
        <w:ind w:left="720" w:right="0"/>
      </w:pPr>
      <w:r>
        <w:rPr>
          <w:rStyle w:val="font_h2"/>
        </w:rPr>
        <w:t xml:space="preserve">5.4. Chronologie de pose</w:t>
      </w:r>
    </w:p>
    <w:p>
      <w:pPr>
        <w:ind w:left="720" w:right="0"/>
      </w:pPr>
      <w:r>
        <w:rPr>
          <w:rStyle w:val="font_h2"/>
        </w:rPr>
        <w:t xml:space="preserve">5.5. Application en partie courante (y compris plage)</w:t>
      </w:r>
    </w:p>
    <w:p>
      <w:pPr>
        <w:ind w:left="720" w:right="0"/>
      </w:pPr>
      <w:r>
        <w:rPr>
          <w:rStyle w:val="font_h2"/>
        </w:rPr>
        <w:t xml:space="preserve">5.6. Traitement des points singuliers</w:t>
      </w:r>
    </w:p>
    <w:p>
      <w:pPr>
        <w:ind w:left="1440" w:right="0"/>
      </w:pPr>
      <w:r>
        <w:rPr>
          <w:rStyle w:val="font_h3"/>
        </w:rPr>
        <w:t xml:space="preserve">5.6.1. Angles rentrants et sortants</w:t>
      </w:r>
    </w:p>
    <w:p>
      <w:pPr>
        <w:ind w:left="1440" w:right="0"/>
      </w:pPr>
      <w:r>
        <w:rPr>
          <w:rStyle w:val="font_h3"/>
        </w:rPr>
        <w:t xml:space="preserve">5.6.2. Relevé en plage</w:t>
      </w:r>
    </w:p>
    <w:p>
      <w:pPr>
        <w:ind w:left="1440" w:right="0"/>
      </w:pPr>
      <w:r>
        <w:rPr>
          <w:rStyle w:val="font_h3"/>
        </w:rPr>
        <w:t xml:space="preserve">5.6.3. Organes traversants (sorties d'eau, hyublots, éclairages, ...)</w:t>
      </w:r>
    </w:p>
    <w:p>
      <w:pPr>
        <w:ind w:left="1440" w:right="0"/>
      </w:pPr>
      <w:r>
        <w:rPr>
          <w:rStyle w:val="font_h3"/>
        </w:rPr>
        <w:t xml:space="preserve">5.6.4. Organes non traversants (pattes de fixation d'échelles, boitiers de ligne de nage, ...)</w:t>
      </w:r>
    </w:p>
    <w:p>
      <w:pPr>
        <w:ind w:left="1440" w:right="0"/>
      </w:pPr>
      <w:r>
        <w:rPr>
          <w:rStyle w:val="font_h3"/>
        </w:rPr>
        <w:t xml:space="preserve">5.6.5. Dispositifs d'évacuation</w:t>
      </w:r>
    </w:p>
    <w:p>
      <w:pPr>
        <w:ind w:left="1440" w:right="0"/>
      </w:pPr>
      <w:r>
        <w:rPr>
          <w:rStyle w:val="font_h3"/>
        </w:rPr>
        <w:t xml:space="preserve">5.6.6. Tête de bassin</w:t>
      </w:r>
    </w:p>
    <w:p>
      <w:pPr>
        <w:ind w:left="1440" w:right="0"/>
      </w:pPr>
      <w:r>
        <w:rPr>
          <w:rStyle w:val="font_h3"/>
        </w:rPr>
        <w:t xml:space="preserve">5.6.7. Joints de fractionnement</w:t>
      </w:r>
    </w:p>
    <w:p>
      <w:pPr/>
      <w:r>
        <w:rPr/>
        <w:t xml:space="preserve">Validé par le Groupe Spécialisé le 22/06/2023</w:t>
      </w:r>
    </w:p>
    <w:p>
      <w:pPr/>
      <w:r>
        <w:rPr>
          <w:b/>
          <w:bCs/>
        </w:rPr>
        <w:t xml:space="preserve">Description</w:t>
      </w:r>
    </w:p>
    <w:p>
      <w:pPr/>
      <w:r>
        <w:rPr/>
        <w:t xml:space="preserve">Lors de l'essai d'étanchéité de tenue des joints de dilatation selon la méthode d’évaluation des procédés d’étanchéité de toitures, une bande doit être positionnée au droit du T pour pouvoir viser les joints de dilatation d'un autre format que linéaire (T, L, X,...).</w:t>
      </w:r>
    </w:p>
    <w:p>
      <w:pPr/>
      <w:r>
        <w:rPr/>
        <w:t xml:space="preserve">Si l'essai a été réalisé avec les bandes positionnées au niveau des joints linéaires du plateau alors seuls les joints de dilatation linéaires sont alors visés au dossier technique.</w:t>
      </w:r>
    </w:p>
    <w:p>
      <w:pPr/>
      <w:r>
        <w:rPr>
          <w:b/>
          <w:bCs/>
        </w:rPr>
        <w:t xml:space="preserve">Justification</w:t>
      </w:r>
    </w:p>
    <w:p>
      <w:pPr/>
      <w:r>
        <w:rPr/>
        <w:t xml:space="preserve">Essai d'étanchéité de tenue des joints de dilatation selon la méthode d’évaluation des procédés d’étanchéité de toitures.</w:t>
      </w:r>
    </w:p>
    <w:p>
      <w:pPr/>
      <w:r>
        <w:rPr>
          <w:b/>
          <w:bCs/>
        </w:rPr>
        <w:t xml:space="preserve">Critères d'évaluation</w:t>
      </w:r>
    </w:p>
    <w:p>
      <w:pPr/>
      <w:r>
        <w:rPr/>
        <w:t xml:space="preserve">L'essai doit être validé au droit du T pour viser les joints autres que linéaires.</w:t>
      </w:r>
    </w:p>
    <w:p>
      <w:pPr>
        <w:ind w:left="720" w:right="0"/>
      </w:pPr>
      <w:r>
        <w:rPr>
          <w:rStyle w:val="font_h2"/>
        </w:rPr>
        <w:t xml:space="preserve">5.7. Pose de revêtement céramique</w:t>
      </w:r>
    </w:p>
    <w:p>
      <w:pPr>
        <w:ind w:left="1440" w:right="0"/>
      </w:pPr>
      <w:r>
        <w:rPr>
          <w:rStyle w:val="font_h3"/>
        </w:rPr>
        <w:t xml:space="preserve">5.7.1. Protection de l'étanchéité en sol</w:t>
      </w:r>
    </w:p>
    <w:p>
      <w:pPr>
        <w:ind w:left="1440" w:right="0"/>
      </w:pPr>
      <w:r>
        <w:rPr>
          <w:rStyle w:val="font_h3"/>
        </w:rPr>
        <w:t xml:space="preserve">5.7.2. Pose du revêtement céramique</w:t>
      </w:r>
    </w:p>
    <w:p>
      <w:pPr>
        <w:ind w:left="1440" w:right="0"/>
      </w:pPr>
      <w:r>
        <w:rPr>
          <w:rStyle w:val="font_h3"/>
        </w:rPr>
        <w:t xml:space="preserve">5.7.3. Jointoiement</w:t>
      </w:r>
    </w:p>
    <w:p>
      <w:pPr>
        <w:ind w:left="720" w:right="0"/>
      </w:pPr>
      <w:r>
        <w:rPr>
          <w:rStyle w:val="font_h2"/>
        </w:rPr>
        <w:t xml:space="preserve">5.8. Délai de circulation</w:t>
      </w:r>
    </w:p>
    <w:p>
      <w:pPr>
        <w:ind w:left="720" w:right="0"/>
      </w:pPr>
      <w:r>
        <w:rPr>
          <w:rStyle w:val="font_h2"/>
        </w:rPr>
        <w:t xml:space="preserve">5.9. Mise en eau</w:t>
      </w:r>
    </w:p>
    <w:p>
      <w:pPr>
        <w:ind w:left="720" w:right="0"/>
      </w:pPr>
      <w:r>
        <w:rPr>
          <w:rStyle w:val="font_h2"/>
        </w:rPr>
        <w:t xml:space="preserve">5.10. Pédiluves</w:t>
      </w:r>
    </w:p>
    <w:p>
      <w:pPr>
        <w:ind w:left="720" w:right="0"/>
      </w:pPr>
      <w:r>
        <w:rPr>
          <w:rStyle w:val="font_h2"/>
        </w:rPr>
        <w:t xml:space="preserve">5.11. Entretien du bassin (Fascicule 74)</w:t>
      </w:r>
    </w:p>
    <w:p>
      <w:pPr/>
      <w:r>
        <w:rPr>
          <w:rStyle w:val="font_h1"/>
        </w:rPr>
        <w:t xml:space="preserve">6. Assistance technique</w:t>
      </w:r>
    </w:p>
    <w:p>
      <w:pPr/>
      <w:r>
        <w:rPr>
          <w:rStyle w:val="font_h1"/>
        </w:rPr>
        <w:t xml:space="preserve">7.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EB2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2025-10-17T01:35:52+02:00</dcterms:created>
  <dcterms:modified xsi:type="dcterms:W3CDTF">2025-10-17T01:35:52+02:00</dcterms:modified>
</cp:coreProperties>
</file>

<file path=docProps/custom.xml><?xml version="1.0" encoding="utf-8"?>
<Properties xmlns="http://schemas.openxmlformats.org/officeDocument/2006/custom-properties" xmlns:vt="http://schemas.openxmlformats.org/officeDocument/2006/docPropsVTypes"/>
</file>