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font_default"/>
        </w:rPr>
        <w:t xml:space="preserve">Document entériné par le Groupe Spécialisé n° 13 - Édité le 30/10/2026</w:t>
      </w:r>
    </w:p>
    <w:p>
      <w:pPr>
        <w:pStyle w:val="paragraph_centered"/>
      </w:pPr>
      <w:r>
        <w:rPr>
          <w:rStyle w:val="font_h1"/>
        </w:rPr>
        <w:t xml:space="preserve">Liste minimale des éléments habituellement demandés par le Groupe Spécialisé</w:t>
      </w:r>
    </w:p>
    <w:p>
      <w:pPr/>
      <w:r>
        <w:rPr>
          <w:rStyle w:val="font_h2"/>
        </w:rPr>
        <w:t xml:space="preserve">Groupe Spécialisé n° 13 « Procédés pour la mise en œuvre des revêtements »</w:t>
      </w:r>
    </w:p>
    <w:p>
      <w:pPr/>
      <w:r>
        <w:rPr>
          <w:rStyle w:val="font_default"/>
        </w:rPr>
        <w:t xml:space="preserve">Famille de produits ou procédés : </w:t>
      </w:r>
      <w:r>
        <w:rPr>
          <w:rStyle w:val="font_h3"/>
        </w:rPr>
        <w:t xml:space="preserve">Etanchéité de bassin sous carrelage</w:t>
      </w:r>
    </w:p>
    <w:p>
      <w:pPr/>
      <w:r>
        <w:rPr>
          <w:rStyle w:val="font_h1"/>
        </w:rPr>
        <w:t xml:space="preserve">1. Description</w:t>
      </w:r>
    </w:p>
    <w:p>
      <w:pPr>
        <w:ind w:left="720" w:right="0"/>
      </w:pPr>
      <w:r>
        <w:rPr>
          <w:rStyle w:val="font_h2"/>
        </w:rPr>
        <w:t xml:space="preserve">1.1. Principe</w:t>
      </w:r>
    </w:p>
    <w:p>
      <w:pPr>
        <w:ind w:left="720" w:right="0"/>
      </w:pPr>
      <w:r>
        <w:rPr>
          <w:rStyle w:val="font_h2"/>
        </w:rPr>
        <w:t xml:space="preserve">1.2. Caractéristiques des composants</w:t>
      </w:r>
    </w:p>
    <w:p>
      <w:pPr>
        <w:ind w:left="720" w:right="0"/>
      </w:pPr>
      <w:r>
        <w:rPr>
          <w:rStyle w:val="font_h2"/>
        </w:rPr>
        <w:t xml:space="preserve">1.3. Données environnementales</w:t>
      </w:r>
    </w:p>
    <w:p>
      <w:pPr/>
      <w:r>
        <w:rPr>
          <w:rStyle w:val="font_h1"/>
        </w:rPr>
        <w:t xml:space="preserve">2. Domaine d'emploi</w:t>
      </w:r>
    </w:p>
    <w:p>
      <w:pPr>
        <w:ind w:left="720" w:right="0"/>
      </w:pPr>
      <w:r>
        <w:rPr>
          <w:rStyle w:val="font_h2"/>
        </w:rPr>
        <w:t xml:space="preserve">2.1. Zone géographique</w:t>
      </w:r>
    </w:p>
    <w:p>
      <w:pPr>
        <w:ind w:left="720" w:right="0"/>
      </w:pPr>
      <w:r>
        <w:rPr>
          <w:rStyle w:val="font_h2"/>
        </w:rPr>
        <w:t xml:space="preserve">2.2. Ouvrages visés</w:t>
      </w:r>
    </w:p>
    <w:p>
      <w:pPr>
        <w:ind w:left="720" w:right="0"/>
      </w:pPr>
      <w:r>
        <w:rPr>
          <w:rStyle w:val="font_h2"/>
        </w:rPr>
        <w:t xml:space="preserve">2.3. Supports visés</w:t>
      </w:r>
    </w:p>
    <w:p>
      <w:pPr>
        <w:ind w:left="1440" w:right="0"/>
      </w:pPr>
      <w:r>
        <w:rPr>
          <w:rStyle w:val="font_h3"/>
        </w:rPr>
        <w:t xml:space="preserve">2.3.1. Bassins</w:t>
      </w:r>
    </w:p>
    <w:p>
      <w:pPr>
        <w:ind w:left="1440" w:right="0"/>
      </w:pPr>
      <w:r>
        <w:rPr>
          <w:rStyle w:val="font_h3"/>
        </w:rPr>
        <w:t xml:space="preserve">2.3.2. Plages</w:t>
      </w:r>
    </w:p>
    <w:p>
      <w:pPr>
        <w:ind w:left="720" w:right="0"/>
      </w:pPr>
      <w:r>
        <w:rPr>
          <w:rStyle w:val="font_h2"/>
        </w:rPr>
        <w:t xml:space="preserve">2.4. Revêtements visés</w:t>
      </w:r>
    </w:p>
    <w:p>
      <w:pPr>
        <w:ind w:left="720" w:right="0"/>
      </w:pPr>
      <w:r>
        <w:rPr>
          <w:rStyle w:val="font_h2"/>
        </w:rPr>
        <w:t xml:space="preserve">2.5. Aptitude à l'emploi du procédé</w:t>
      </w:r>
    </w:p>
    <w:p>
      <w:pPr/>
      <w:r>
        <w:rPr>
          <w:rStyle w:val="font_h1"/>
        </w:rPr>
        <w:t xml:space="preserve">3. Dispositions de conception</w:t>
      </w:r>
    </w:p>
    <w:p>
      <w:pPr/>
      <w:r>
        <w:rPr>
          <w:rStyle w:val="font_h1"/>
        </w:rPr>
        <w:t xml:space="preserve">4. Dispositions de mise en oeuvre</w:t>
      </w:r>
    </w:p>
    <w:p>
      <w:pPr>
        <w:ind w:left="720" w:right="0"/>
      </w:pPr>
      <w:r>
        <w:rPr>
          <w:rStyle w:val="font_h2"/>
        </w:rPr>
        <w:t xml:space="preserve">4.1. Reconnaissance du support</w:t>
      </w:r>
    </w:p>
    <w:p>
      <w:pPr>
        <w:ind w:left="1440" w:right="0"/>
      </w:pPr>
      <w:r>
        <w:rPr>
          <w:rStyle w:val="font_h3"/>
        </w:rPr>
        <w:t xml:space="preserve">4.1.1. Préparation du béton</w:t>
      </w:r>
    </w:p>
    <w:p>
      <w:pPr>
        <w:ind w:left="2160" w:right="0"/>
      </w:pPr>
      <w:r>
        <w:rPr>
          <w:rStyle w:val="font_h3"/>
        </w:rPr>
        <w:t xml:space="preserve">4.1.1.1. Travaux neufs</w:t>
      </w:r>
    </w:p>
    <w:p>
      <w:pPr>
        <w:ind w:left="2160" w:right="0"/>
      </w:pPr>
      <w:r>
        <w:rPr>
          <w:rStyle w:val="font_h3"/>
        </w:rPr>
        <w:t xml:space="preserve">4.1.1.2. Travaux de rénovation</w:t>
      </w:r>
    </w:p>
    <w:p>
      <w:pPr>
        <w:ind w:left="1440" w:right="0"/>
      </w:pPr>
      <w:r>
        <w:rPr>
          <w:rStyle w:val="font_h3"/>
        </w:rPr>
        <w:t xml:space="preserve">4.1.2. Etat de surface</w:t>
      </w:r>
    </w:p>
    <w:p>
      <w:pPr>
        <w:ind w:left="1440" w:right="0"/>
      </w:pPr>
      <w:r>
        <w:rPr>
          <w:rStyle w:val="font_h3"/>
        </w:rPr>
        <w:t xml:space="preserve">4.1.3. Planéité et pente</w:t>
      </w:r>
    </w:p>
    <w:p>
      <w:pPr/>
      <w:r>
        <w:rPr/>
        <w:t xml:space="preserve">Validé par le Groupe Spécialisé le 03/12/2020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Un plan de pente doit être établi par le Maître d’œuvre. Les pentes doivent respecter les prescriptions des DPM.Les pentes minimales à respecter sont les suivantes : </w:t>
      </w:r>
    </w:p>
    <w:p>
      <w:pPr>
        <w:pPr/>
        <w:numPr>
          <w:ilvl w:val="0"/>
          <w:numId w:val="9"/>
        </w:numPr>
      </w:pPr>
      <w:r>
        <w:rPr/>
        <w:t xml:space="preserve">L’article A.322-21 du code du sport prévoit « pour éviter la stagnation de l’eau, les pentes sont comprises entre 3 et 5 %. » </w:t>
      </w:r>
    </w:p>
    <w:p>
      <w:pPr>
        <w:pPr/>
        <w:numPr>
          <w:ilvl w:val="0"/>
          <w:numId w:val="9"/>
        </w:numPr>
      </w:pPr>
      <w:r>
        <w:rPr/>
        <w:t xml:space="preserve">Des exigences complémentaires quant à l’accessibilité de Personnes à Mobilité Réduite sont précisées dans les textes réglementaires régissant la conception de ces ouvrages.</w:t>
      </w:r>
    </w:p>
    <w:p>
      <w:pPr>
        <w:pPr/>
        <w:numPr>
          <w:ilvl w:val="0"/>
          <w:numId w:val="9"/>
        </w:numPr>
      </w:pPr>
      <w:r>
        <w:rPr/>
        <w:t xml:space="preserve">L’article 5.5.2 de la norme NF EN 15288-1 « exigences de sécurité pour la conception » demande des pentes comprises entre 2 et 5 %.</w:t>
      </w:r>
    </w:p>
    <w:p>
      <w:pPr>
        <w:pPr/>
        <w:numPr>
          <w:ilvl w:val="0"/>
          <w:numId w:val="9"/>
        </w:numPr>
      </w:pPr>
      <w:r>
        <w:rPr/>
        <w:t xml:space="preserve">Pour éviter la stagnation d’eau entre les siphons, la noue doit avoir une pente minimale de 0,5 % (annexe C de la NF P 10-203- 1).</w:t>
      </w:r>
    </w:p>
    <w:p>
      <w:pPr>
        <w:pPr/>
        <w:numPr>
          <w:ilvl w:val="0"/>
          <w:numId w:val="9"/>
        </w:numPr>
      </w:pPr>
      <w:r>
        <w:rPr/>
        <w:t xml:space="preserve">La pente du sol des douches et vestiaires doit être une pente minimale de 1%.</w:t>
      </w:r>
    </w:p>
    <w:p>
      <w:pPr/>
      <w:r>
        <w:rPr/>
        <w:t xml:space="preserve">Pour respecter le code du sport et l’accès PMR, les DPM doivent définir un plan de pentes conciliant les deux exigences par exemple : les pentes de plages devront être comprises entre 3 et 5 % et comprendront un cheminement jusqu’au bassin, identifié et accessible aux personnes handicapées dont le devers sera inférieur à 2 %.Nota : Les pentes de noue inférieure à 2 % peuvent conduire à des stagnations d’eau et à des problèmes de sécurité et d’hygiène.</w:t>
      </w:r>
    </w:p>
    <w:p>
      <w:pPr>
        <w:ind w:left="1440" w:right="0"/>
      </w:pPr>
      <w:r>
        <w:rPr>
          <w:rStyle w:val="font_h3"/>
        </w:rPr>
        <w:t xml:space="preserve">4.1.4. Traitement des fissures passives</w:t>
      </w:r>
    </w:p>
    <w:p>
      <w:pPr>
        <w:ind w:left="1440" w:right="0"/>
      </w:pPr>
      <w:r>
        <w:rPr>
          <w:rStyle w:val="font_h3"/>
        </w:rPr>
        <w:t xml:space="preserve">4.1.5. Traitement des aciers</w:t>
      </w:r>
    </w:p>
    <w:p>
      <w:pPr>
        <w:ind w:left="1440" w:right="0"/>
      </w:pPr>
      <w:r>
        <w:rPr>
          <w:rStyle w:val="font_h3"/>
        </w:rPr>
        <w:t xml:space="preserve">4.1.6. Réparation</w:t>
      </w:r>
    </w:p>
    <w:p>
      <w:pPr>
        <w:ind w:left="1440" w:right="0"/>
      </w:pPr>
      <w:r>
        <w:rPr>
          <w:rStyle w:val="font_h3"/>
        </w:rPr>
        <w:t xml:space="preserve">4.1.7. Traitement des angles et des relevés fond e bassin / parois verticales</w:t>
      </w:r>
    </w:p>
    <w:p>
      <w:pPr>
        <w:ind w:left="720" w:right="0"/>
      </w:pPr>
      <w:r>
        <w:rPr>
          <w:rStyle w:val="font_h2"/>
        </w:rPr>
        <w:t xml:space="preserve">4.2. Travaux préparatoires</w:t>
      </w:r>
    </w:p>
    <w:p>
      <w:pPr>
        <w:ind w:left="1440" w:right="0"/>
      </w:pPr>
      <w:r>
        <w:rPr>
          <w:rStyle w:val="font_h3"/>
        </w:rPr>
        <w:t xml:space="preserve">4.2.1. Mise en eau préliminaire</w:t>
      </w:r>
    </w:p>
    <w:p>
      <w:pPr>
        <w:ind w:left="1440" w:right="0"/>
      </w:pPr>
      <w:r>
        <w:rPr>
          <w:rStyle w:val="font_h3"/>
        </w:rPr>
        <w:t xml:space="preserve">4.2.2. Conditions de mise en oeuvre</w:t>
      </w:r>
    </w:p>
    <w:p>
      <w:pPr>
        <w:ind w:left="720" w:right="0"/>
      </w:pPr>
      <w:r>
        <w:rPr>
          <w:rStyle w:val="font_h2"/>
        </w:rPr>
        <w:t xml:space="preserve">4.3. Préparation du mélange</w:t>
      </w:r>
    </w:p>
    <w:p>
      <w:pPr>
        <w:ind w:left="720" w:right="0"/>
      </w:pPr>
      <w:r>
        <w:rPr>
          <w:rStyle w:val="font_h2"/>
        </w:rPr>
        <w:t xml:space="preserve">4.4. Chronologie de pose</w:t>
      </w:r>
    </w:p>
    <w:p>
      <w:pPr>
        <w:ind w:left="720" w:right="0"/>
      </w:pPr>
      <w:r>
        <w:rPr>
          <w:rStyle w:val="font_h2"/>
        </w:rPr>
        <w:t xml:space="preserve">4.5. Application en partie courante (y compris plage)</w:t>
      </w:r>
    </w:p>
    <w:p>
      <w:pPr>
        <w:ind w:left="720" w:right="0"/>
      </w:pPr>
      <w:r>
        <w:rPr>
          <w:rStyle w:val="font_h2"/>
        </w:rPr>
        <w:t xml:space="preserve">4.6. Traitement des points singuliers</w:t>
      </w:r>
    </w:p>
    <w:p>
      <w:pPr>
        <w:ind w:left="1440" w:right="0"/>
      </w:pPr>
      <w:r>
        <w:rPr>
          <w:rStyle w:val="font_h3"/>
        </w:rPr>
        <w:t xml:space="preserve">4.6.1. Angles rentrants et sortants</w:t>
      </w:r>
    </w:p>
    <w:p>
      <w:pPr>
        <w:ind w:left="1440" w:right="0"/>
      </w:pPr>
      <w:r>
        <w:rPr>
          <w:rStyle w:val="font_h3"/>
        </w:rPr>
        <w:t xml:space="preserve">4.6.2. Relevé en plage</w:t>
      </w:r>
    </w:p>
    <w:p>
      <w:pPr>
        <w:ind w:left="1440" w:right="0"/>
      </w:pPr>
      <w:r>
        <w:rPr>
          <w:rStyle w:val="font_h3"/>
        </w:rPr>
        <w:t xml:space="preserve">4.6.3. Organes traversants (sorties d'eau, hyublots, éclairages, ...)</w:t>
      </w:r>
    </w:p>
    <w:p>
      <w:pPr>
        <w:ind w:left="1440" w:right="0"/>
      </w:pPr>
      <w:r>
        <w:rPr>
          <w:rStyle w:val="font_h3"/>
        </w:rPr>
        <w:t xml:space="preserve">4.6.4. Organes non traversants (pattes de fixation d'échelles, boitiers de ligne de nage, ...)</w:t>
      </w:r>
    </w:p>
    <w:p>
      <w:pPr>
        <w:ind w:left="1440" w:right="0"/>
      </w:pPr>
      <w:r>
        <w:rPr>
          <w:rStyle w:val="font_h3"/>
        </w:rPr>
        <w:t xml:space="preserve">4.6.5. Dispositifs d'évacuation</w:t>
      </w:r>
    </w:p>
    <w:p>
      <w:pPr>
        <w:ind w:left="1440" w:right="0"/>
      </w:pPr>
      <w:r>
        <w:rPr>
          <w:rStyle w:val="font_h3"/>
        </w:rPr>
        <w:t xml:space="preserve">4.6.6. Tête de bassin</w:t>
      </w:r>
    </w:p>
    <w:p>
      <w:pPr>
        <w:ind w:left="1440" w:right="0"/>
      </w:pPr>
      <w:r>
        <w:rPr>
          <w:rStyle w:val="font_h3"/>
        </w:rPr>
        <w:t xml:space="preserve">4.6.7. Joints de fractionnement</w:t>
      </w:r>
    </w:p>
    <w:p>
      <w:pPr/>
      <w:r>
        <w:rPr/>
        <w:t xml:space="preserve">Validé par le Groupe Spécialisé le 22/06/2023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Lors de l'essai d'étanchéité de tenue des joints de dilatation selon la méthode d’évaluation des procédés d’étanchéité de toitures, une bande doit être positionnée au droit du T pour pouvoir viser les joints de dilatation d'un autre format que linéaire (T, L, X,...).</w:t>
      </w:r>
    </w:p>
    <w:p>
      <w:pPr/>
      <w:r>
        <w:rPr/>
        <w:t xml:space="preserve">Si l'essai a été réalisé avec les bandes positionnées au niveau des joints linéaires du plateau alors seuls les joints de dilatation linéaires sont alors visés au dossier technique.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Essai d'étanchéité de tenue des joints de dilatation selon la méthode d’évaluation des procédés d’étanchéité de toitures.</w:t>
      </w:r>
    </w:p>
    <w:p>
      <w:pPr/>
      <w:r>
        <w:rPr>
          <w:b/>
          <w:bCs/>
        </w:rPr>
        <w:t xml:space="preserve">Critères d'évaluation</w:t>
      </w:r>
    </w:p>
    <w:p>
      <w:pPr/>
      <w:r>
        <w:rPr/>
        <w:t xml:space="preserve">L'essai doit être validé au droit du T pour viser les joints autres que linéaires.</w:t>
      </w:r>
    </w:p>
    <w:p>
      <w:pPr>
        <w:ind w:left="720" w:right="0"/>
      </w:pPr>
      <w:r>
        <w:rPr>
          <w:rStyle w:val="font_h2"/>
        </w:rPr>
        <w:t xml:space="preserve">4.7. Pose de revêtement céramique</w:t>
      </w:r>
    </w:p>
    <w:p>
      <w:pPr>
        <w:ind w:left="1440" w:right="0"/>
      </w:pPr>
      <w:r>
        <w:rPr>
          <w:rStyle w:val="font_h3"/>
        </w:rPr>
        <w:t xml:space="preserve">4.7.1. Protection de l'étanchéité en sol</w:t>
      </w:r>
    </w:p>
    <w:p>
      <w:pPr>
        <w:ind w:left="1440" w:right="0"/>
      </w:pPr>
      <w:r>
        <w:rPr>
          <w:rStyle w:val="font_h3"/>
        </w:rPr>
        <w:t xml:space="preserve">4.7.2. Pose du revêtement céramique</w:t>
      </w:r>
    </w:p>
    <w:p>
      <w:pPr>
        <w:ind w:left="1440" w:right="0"/>
      </w:pPr>
      <w:r>
        <w:rPr>
          <w:rStyle w:val="font_h3"/>
        </w:rPr>
        <w:t xml:space="preserve">4.7.3. Jointoiement</w:t>
      </w:r>
    </w:p>
    <w:p>
      <w:pPr>
        <w:ind w:left="720" w:right="0"/>
      </w:pPr>
      <w:r>
        <w:rPr>
          <w:rStyle w:val="font_h2"/>
        </w:rPr>
        <w:t xml:space="preserve">4.8. Délai de circulation</w:t>
      </w:r>
    </w:p>
    <w:p>
      <w:pPr>
        <w:ind w:left="720" w:right="0"/>
      </w:pPr>
      <w:r>
        <w:rPr>
          <w:rStyle w:val="font_h2"/>
        </w:rPr>
        <w:t xml:space="preserve">4.9. Mise en eau</w:t>
      </w:r>
    </w:p>
    <w:p>
      <w:pPr>
        <w:ind w:left="720" w:right="0"/>
      </w:pPr>
      <w:r>
        <w:rPr>
          <w:rStyle w:val="font_h2"/>
        </w:rPr>
        <w:t xml:space="preserve">4.10. Pédiluves</w:t>
      </w:r>
    </w:p>
    <w:p>
      <w:pPr>
        <w:ind w:left="720" w:right="0"/>
      </w:pPr>
      <w:r>
        <w:rPr>
          <w:rStyle w:val="font_h2"/>
        </w:rPr>
        <w:t xml:space="preserve">4.11. Entretien du bassin (Fascicule 74)</w:t>
      </w:r>
    </w:p>
    <w:p>
      <w:pPr/>
      <w:r>
        <w:rPr>
          <w:rStyle w:val="font_h1"/>
        </w:rPr>
        <w:t xml:space="preserve">5. Mise en service</w:t>
      </w:r>
    </w:p>
    <w:p>
      <w:pPr/>
      <w:r>
        <w:rPr>
          <w:rStyle w:val="font_h1"/>
        </w:rPr>
        <w:t xml:space="preserve">6. Maintien en service du produit ou procédé</w:t>
      </w:r>
    </w:p>
    <w:p>
      <w:pPr/>
      <w:r>
        <w:rPr>
          <w:rStyle w:val="font_h1"/>
        </w:rPr>
        <w:t xml:space="preserve">7. Traitement en fin de vie</w:t>
      </w:r>
    </w:p>
    <w:p>
      <w:pPr/>
      <w:r>
        <w:rPr>
          <w:rStyle w:val="font_h1"/>
        </w:rPr>
        <w:t xml:space="preserve">8. Assistance technique</w:t>
      </w:r>
    </w:p>
    <w:p>
      <w:pPr/>
      <w:r>
        <w:rPr>
          <w:rStyle w:val="font_h1"/>
        </w:rPr>
        <w:t xml:space="preserve">9. Principe de fabrication et de contrôle</w:t>
      </w:r>
    </w:p>
    <w:p>
      <w:pPr/>
      <w:r>
        <w:rPr>
          <w:rStyle w:val="font_h1"/>
        </w:rPr>
        <w:t xml:space="preserve">10. Mention des justificatifs</w:t>
      </w:r>
    </w:p>
    <w:sectPr>
      <w:headerReference w:type="default" r:id="rId7"/>
      <w:footerReference w:type="default" r:id="rId8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_footer"/>
    </w:pPr>
    <w:r>
      <w:rPr>
        <w:rStyle w:val="font_footer"/>
      </w:rPr>
      <w:t xml:space="preserve">Secrétariat : 84 avenue Jean-Jaurès – Champs-sur-Marne – F-77447 Marne-la-Vallée Cedex 2</w:t>
    </w:r>
    <w:br/>
    <w:r>
      <w:rPr>
        <w:rStyle w:val="font_footer"/>
      </w:rPr>
      <w:t xml:space="preserve">Tel : (33)01.64.68.85.60 - Fax : (33)01.64.68.85.65</w:t>
    </w:r>
    <w:br/>
    <w:r>
      <w:rPr>
        <w:rStyle w:val="font_footer"/>
      </w:rPr>
      <w:t xml:space="preserve">Serveur Internet : http://www.cstb.fr - E-mail : secretariat.at@cstb.fr</w:t>
    </w:r>
    <w:br/>
  </w:p>
  <w:p>
    <w:pPr>
      <w:pStyle w:val="paragraph_footer"/>
    </w:pPr>
    <w:r>
      <w:rPr>
        <w:rStyle w:val="font_footer"/>
      </w:rPr>
      <w:t xml:space="preserve">Page </w:t>
    </w:r>
    <w:r>
      <w:fldChar w:fldCharType="begin"/>
    </w:r>
    <w:r>
      <w:rPr>
        <w:rStyle w:val="font_footer"/>
      </w:rPr>
      <w:instrText xml:space="preserve">PAGE</w:instrText>
    </w:r>
    <w:r>
      <w:fldChar w:fldCharType="separate"/>
    </w:r>
    <w:r>
      <w:fldChar w:fldCharType="end"/>
    </w:r>
    <w:r>
      <w:rPr>
        <w:rStyle w:val="font_footer"/>
      </w:rPr>
      <w:t xml:space="preserve"> sur </w:t>
    </w:r>
    <w:r>
      <w:fldChar w:fldCharType="begin"/>
    </w:r>
    <w:r>
      <w:rPr>
        <w:rStyle w:val="font_footer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</w:p>
  <w:p>
    <w:pPr/>
    <w:r>
      <w:pict>
        <v:shape type="#_x0000_t75" style="width:170pt; height:60pt; margin-left:0pt; margin-top:0pt; mso-position-horizontal:left; mso-position-vertical:top; mso-position-horizontal-relative:char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">
    <w:nsid w:val="CBE413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font_default">
    <w:name w:val="font_default"/>
    <w:basedOn w:val="Normal"/>
    <w:pPr>
      <w:spacing w:line="240" w:lineRule="auto"/>
    </w:pPr>
    <w:rPr>
      <w:rFonts w:ascii="Calibri" w:hAnsi="Calibri" w:eastAsia="Calibri" w:cs="Calibri"/>
      <w:color w:val="000000"/>
      <w:sz w:val="22"/>
      <w:szCs w:val="22"/>
    </w:rPr>
  </w:style>
  <w:style w:type="character">
    <w:name w:val="font_h1"/>
    <w:rPr>
      <w:rFonts w:ascii="Calibri" w:hAnsi="Calibri" w:eastAsia="Calibri" w:cs="Calibri"/>
      <w:color w:val="000000"/>
      <w:sz w:val="28"/>
      <w:szCs w:val="28"/>
      <w:b/>
      <w:bCs/>
    </w:rPr>
  </w:style>
  <w:style w:type="character">
    <w:name w:val="font_h2"/>
    <w:rPr>
      <w:rFonts w:ascii="Calibri" w:hAnsi="Calibri" w:eastAsia="Calibri" w:cs="Calibri"/>
      <w:color w:val="000000"/>
      <w:sz w:val="24"/>
      <w:szCs w:val="24"/>
      <w:b/>
      <w:bCs/>
    </w:rPr>
  </w:style>
  <w:style w:type="character">
    <w:name w:val="font_h3"/>
    <w:rPr>
      <w:rFonts w:ascii="Calibri" w:hAnsi="Calibri" w:eastAsia="Calibri" w:cs="Calibri"/>
      <w:color w:val="000000"/>
      <w:sz w:val="22"/>
      <w:szCs w:val="22"/>
      <w:b/>
      <w:bCs/>
    </w:rPr>
  </w:style>
  <w:style w:type="character">
    <w:name w:val="font_footer"/>
    <w:rPr>
      <w:rFonts w:ascii="Calibri" w:hAnsi="Calibri" w:eastAsia="Calibri" w:cs="Calibri"/>
      <w:color w:val="000000"/>
      <w:sz w:val="20"/>
      <w:szCs w:val="20"/>
    </w:rPr>
  </w:style>
  <w:style w:type="paragraph" w:customStyle="1" w:styleId="paragraph_centered">
    <w:name w:val="paragraph_centered"/>
    <w:basedOn w:val="Normal"/>
    <w:pPr>
      <w:jc w:val="center"/>
    </w:pPr>
  </w:style>
  <w:style w:type="paragraph" w:customStyle="1" w:styleId="paragraph_footer">
    <w:name w:val="paragraph_footer"/>
    <w:basedOn w:val="Normal"/>
    <w:pPr>
      <w:jc w:val="center"/>
      <w:spacing w:after="0" w:line="240" w:lineRule="auto"/>
    </w:pPr>
  </w:style>
  <w:style w:type="table" w:customStyle="1" w:styleId="table">
    <w:name w:val="table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  <w:tblBorders>
        <w:top w:val="single" w:sz="6" w:color="444444"/>
        <w:left w:val="single" w:sz="6" w:color="444444"/>
        <w:right w:val="single" w:sz="6" w:color="444444"/>
        <w:bottom w:val="single" w:sz="6" w:color="444444"/>
        <w:insideH w:val="single" w:sz="6" w:color="444444"/>
        <w:insideV w:val="single" w:sz="6" w:color="444444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2026-10-30T07:10:07+01:00</dcterms:created>
  <dcterms:modified xsi:type="dcterms:W3CDTF">2026-10-30T07:10:07+01:00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