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plancher intermédiaire sous carrelage</w:t>
      </w:r>
    </w:p>
    <w:p>
      <w:pPr/>
      <w:r>
        <w:rPr>
          <w:rStyle w:val="font_h1"/>
        </w:rPr>
        <w:t xml:space="preserve">1. Domaine d’emploi</w:t>
      </w:r>
    </w:p>
    <w:p>
      <w:pPr>
        <w:ind w:left="720" w:right="0"/>
      </w:pPr>
      <w:r>
        <w:rPr>
          <w:rStyle w:val="font_h2"/>
        </w:rPr>
        <w:t xml:space="preserve">1.1. Locaux visés</w:t>
      </w:r>
    </w:p>
    <w:p>
      <w:pPr/>
      <w:r>
        <w:rPr/>
        <w:t xml:space="preserve">Validé par le Groupe Spécialisé le 05/02/2019</w:t>
      </w:r>
    </w:p>
    <w:p>
      <w:pPr/>
      <w:r>
        <w:rPr>
          <w:b/>
          <w:bCs/>
        </w:rPr>
        <w:t xml:space="preserve">Description</w:t>
      </w:r>
    </w:p>
    <w:p>
      <w:pPr/>
      <w:r>
        <w:rPr/>
        <w:t xml:space="preserve">Les experts du groupe ont acté une jurisprudence concernant les anciens siphons de sol en travaux de rénovation. Dorénavant, il sera précisé dans le Dossier Technique qu’en travaux de rénovation, les systèmes d’évacuation devront systématiquement être déposés et remplacés.</w:t>
      </w:r>
    </w:p>
    <w:p>
      <w:pPr>
        <w:ind w:left="720" w:right="0"/>
      </w:pPr>
      <w:r>
        <w:rPr>
          <w:rStyle w:val="font_h2"/>
        </w:rPr>
        <w:t xml:space="preserve">1.2. Supports visés</w:t>
      </w:r>
    </w:p>
    <w:p>
      <w:pPr>
        <w:ind w:left="1440" w:right="0"/>
      </w:pPr>
      <w:r>
        <w:rPr>
          <w:rStyle w:val="font_h3"/>
        </w:rPr>
        <w:t xml:space="preserve">1.2.1. En sol</w:t>
      </w:r>
    </w:p>
    <w:p>
      <w:pPr/>
      <w:r>
        <w:rPr/>
        <w:t xml:space="preserve">Validé par le Groupe Spécialisé le 23/06/2022</w:t>
      </w:r>
    </w:p>
    <w:p>
      <w:pPr/>
      <w:r>
        <w:rPr>
          <w:b/>
          <w:bCs/>
        </w:rPr>
        <w:t xml:space="preserve">Description</w:t>
      </w:r>
    </w:p>
    <w:p>
      <w:pPr/>
      <w:r>
        <w:rPr/>
        <w:t xml:space="preserve">La pose sur isolant acoustique mince SCAM certifié est limitée à une sous-couche classée SC1 avec un indice maximal a2. Un schéma de traitement de raccord de canalisation traversante dans le cas d’une pose sur SCAM doit être proposé au dossier.o   La mise en œuvre d’une chape rapide sous Avis Technique/DTA doit être systématique dans les espaces douches maçonnés des salles de bain privatives, avec forme de pente, sur isolant SCAM ou film de désolidarisation, du fait des différentes contraintes, que ce soit de délais de chantier, d’épaisseur ou de performances attendues. Ceci sera mentionné dans le dossier et en remarque complémentaire du groupe.o   Dans le cas de la pose du système d’étanchéité sur support flottant ou désolidarisé, le traitement des points singuliers sera limité aux seules bandes de pontage bénéficiant d’un rapport d’essais favorable selon le Document Technique QB11-5.de plus, il conviendra pour pouvoir envisager l’examen d’une future demande d’extension du domaine d’emploi sur supports flottants de fournir a minima les éléments suivants :</w:t>
      </w:r>
    </w:p>
    <w:p>
      <w:pPr>
        <w:pPr/>
        <w:numPr>
          <w:ilvl w:val="0"/>
          <w:numId w:val="9"/>
        </w:numPr>
      </w:pPr>
      <w:r>
        <w:rPr/>
        <w:t xml:space="preserve">Des schémas détaillés de mise en œuvre sur ouvrage flottant (sur isolant acoustique mince),</w:t>
      </w:r>
    </w:p>
    <w:p>
      <w:pPr>
        <w:pPr/>
        <w:numPr>
          <w:ilvl w:val="0"/>
          <w:numId w:val="9"/>
        </w:numPr>
      </w:pPr>
      <w:r>
        <w:rPr/>
        <w:t xml:space="preserve">La réalisation d’une visite de chantier sur ouvrage flottant de plus de 12 mois, pour s’assurer entres autres qu’il n’y a pas de problème au niveau du traitement des points singuliers,</w:t>
      </w:r>
    </w:p>
    <w:p>
      <w:pPr>
        <w:pPr/>
        <w:numPr>
          <w:ilvl w:val="0"/>
          <w:numId w:val="9"/>
        </w:numPr>
      </w:pPr>
      <w:r>
        <w:rPr/>
        <w:t xml:space="preserve">Une liste de références de chantiers détaillée,</w:t>
      </w:r>
    </w:p>
    <w:p>
      <w:pPr>
        <w:pPr/>
        <w:numPr>
          <w:ilvl w:val="0"/>
          <w:numId w:val="9"/>
        </w:numPr>
      </w:pPr>
      <w:r>
        <w:rPr/>
        <w:t xml:space="preserve">Le justificatif d’une validation acoustique d’un siphon,</w:t>
      </w:r>
    </w:p>
    <w:p>
      <w:pPr>
        <w:pPr/>
        <w:numPr>
          <w:ilvl w:val="0"/>
          <w:numId w:val="9"/>
        </w:numPr>
      </w:pPr>
      <w:r>
        <w:rPr/>
        <w:t xml:space="preserve">La description dans le dossier technique de la mise en œuvre et du traitement des points singuliers en pose sur ouvrage flottant sur isolant acoustique.</w:t>
      </w:r>
    </w:p>
    <w:p>
      <w:pPr/>
      <w:r>
        <w:rPr>
          <w:b/>
          <w:bCs/>
        </w:rPr>
        <w:t xml:space="preserve">Critères d'évaluation</w:t>
      </w:r>
    </w:p>
    <w:p>
      <w:pPr/>
      <w:r>
        <w:rPr/>
        <w:t xml:space="preserve">L'essai d'aptitude à l'emploi sur ouvrage flottant (dit "de fatigue") devra être réalisé avec la bande décrite dans le dossier.La validation acoustique du siphon envisagé.Des schémas de traitement détaillés au droit des points singuliers.Visite chantier sur un ouvrage ayant 12 mois de recul a minima.</w:t>
      </w:r>
    </w:p>
    <w:p>
      <w:pPr>
        <w:ind w:left="1440" w:right="0"/>
      </w:pPr>
      <w:r>
        <w:rPr>
          <w:rStyle w:val="font_h3"/>
        </w:rPr>
        <w:t xml:space="preserve">1.2.2. En murs intérieurs</w:t>
      </w:r>
    </w:p>
    <w:p>
      <w:pPr>
        <w:ind w:left="720" w:right="0"/>
      </w:pPr>
      <w:r>
        <w:rPr>
          <w:rStyle w:val="font_h2"/>
        </w:rPr>
        <w:t xml:space="preserve">1.3. Carreaux associés</w:t>
      </w:r>
    </w:p>
    <w:p>
      <w:pPr/>
      <w:r>
        <w:rPr/>
        <w:t xml:space="preserve">Validé par le Groupe Spécialisé le 22/06/2023</w:t>
      </w:r>
    </w:p>
    <w:p>
      <w:pPr/>
      <w:r>
        <w:rPr>
          <w:b/>
          <w:bCs/>
        </w:rPr>
        <w:t xml:space="preserve">Description</w:t>
      </w:r>
    </w:p>
    <w:p>
      <w:pPr/>
      <w:r>
        <w:rPr/>
        <w:t xml:space="preserve">Eléments à fournir pour viser l'utilisation de carreaux de format allant jusqu'à 3600 cm² en locaux P4/P4S et l'utilisation de carreaux de format allant jusqu'à 10000 cm²</w:t>
      </w:r>
    </w:p>
    <w:p>
      <w:pPr/>
      <w:r>
        <w:rPr>
          <w:b/>
          <w:bCs/>
        </w:rPr>
        <w:t xml:space="preserve">Justification</w:t>
      </w:r>
    </w:p>
    <w:p>
      <w:pPr/>
      <w:r>
        <w:rPr/>
        <w:t xml:space="preserve">Minimum de 5 références de chantier en format 3600 cm² en locaux P4/P4S</w:t>
      </w:r>
    </w:p>
    <w:p>
      <w:pPr/>
      <w:r>
        <w:rPr/>
        <w:t xml:space="preserve">Minimum de 5 références de chantier en format 10000 cm² en locaux P3</w:t>
      </w:r>
    </w:p>
    <w:p>
      <w:pPr/>
      <w:r>
        <w:rPr/>
        <w:t xml:space="preserve">Justification de la bonne tenue de l'ouvrage par une visite chantier</w:t>
      </w:r>
    </w:p>
    <w:p>
      <w:pPr/>
      <w:r>
        <w:rPr>
          <w:b/>
          <w:bCs/>
        </w:rPr>
        <w:t xml:space="preserve">Critères d'évaluation</w:t>
      </w:r>
    </w:p>
    <w:p>
      <w:pPr/>
      <w:r>
        <w:rPr/>
        <w:t xml:space="preserve">Retours d'enquête sur ces chantiers et visite</w:t>
      </w:r>
    </w:p>
    <w:p>
      <w:pPr/>
      <w:r>
        <w:rPr>
          <w:rStyle w:val="font_h1"/>
        </w:rPr>
        <w:t xml:space="preserve">2. Matériaux</w:t>
      </w:r>
    </w:p>
    <w:p>
      <w:pPr>
        <w:ind w:left="720" w:right="0"/>
      </w:pPr>
      <w:r>
        <w:rPr>
          <w:rStyle w:val="font_h2"/>
        </w:rPr>
        <w:t xml:space="preserve">2.1. Résine</w:t>
      </w:r>
    </w:p>
    <w:p>
      <w:pPr>
        <w:ind w:left="720" w:right="0"/>
      </w:pPr>
      <w:r>
        <w:rPr>
          <w:rStyle w:val="font_h2"/>
        </w:rPr>
        <w:t xml:space="preserve">2.2.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2.3. Produits de jointoiement du carrelage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2.4. Produit de pose du carrelage scellé</w:t>
      </w:r>
    </w:p>
    <w:p>
      <w:pPr>
        <w:ind w:left="720" w:right="0"/>
      </w:pPr>
      <w:r>
        <w:rPr>
          <w:rStyle w:val="font_h2"/>
        </w:rPr>
        <w:t xml:space="preserve">2.5. Produits connexes</w:t>
      </w:r>
    </w:p>
    <w:p>
      <w:pPr/>
      <w:r>
        <w:rPr>
          <w:rStyle w:val="font_h1"/>
        </w:rPr>
        <w:t xml:space="preserve">3. Fabrication - Contrôle</w:t>
      </w:r>
    </w:p>
    <w:p>
      <w:pPr/>
      <w:r>
        <w:rPr>
          <w:rStyle w:val="font_h1"/>
        </w:rPr>
        <w:t xml:space="preserve">4. Mise en œuvre</w:t>
      </w:r>
    </w:p>
    <w:p>
      <w:pPr>
        <w:ind w:left="720" w:right="0"/>
      </w:pPr>
      <w:r>
        <w:rPr>
          <w:rStyle w:val="font_h2"/>
        </w:rPr>
        <w:t xml:space="preserve">4.1. Reconnaissance du support</w:t>
      </w:r>
    </w:p>
    <w:p>
      <w:pPr>
        <w:ind w:left="1440" w:right="0"/>
      </w:pPr>
      <w:r>
        <w:rPr>
          <w:rStyle w:val="font_h3"/>
        </w:rPr>
        <w:t xml:space="preserve">4.1.1. Supports en sol intérieur</w:t>
      </w:r>
    </w:p>
    <w:p>
      <w:pPr>
        <w:ind w:left="1440" w:right="0"/>
      </w:pPr>
      <w:r>
        <w:rPr>
          <w:rStyle w:val="font_h3"/>
        </w:rPr>
        <w:t xml:space="preserve">4.1.2. Supports en murs intérieurs</w:t>
      </w:r>
    </w:p>
    <w:p>
      <w:pPr>
        <w:ind w:left="1440" w:right="0"/>
      </w:pPr>
      <w:r>
        <w:rPr>
          <w:rStyle w:val="font_h3"/>
        </w:rPr>
        <w:t xml:space="preserve">4.1.3. Dispositions spécifiques</w:t>
      </w:r>
    </w:p>
    <w:p>
      <w:pPr>
        <w:ind w:left="720" w:right="0"/>
      </w:pPr>
      <w:r>
        <w:rPr>
          <w:rStyle w:val="font_h2"/>
        </w:rPr>
        <w:t xml:space="preserve">4.2. Préparation des supports</w:t>
      </w:r>
    </w:p>
    <w:p>
      <w:pPr>
        <w:ind w:left="1440" w:right="0"/>
      </w:pPr>
      <w:r>
        <w:rPr>
          <w:rStyle w:val="font_h3"/>
        </w:rPr>
        <w:t xml:space="preserve">4.2.1. Traitement des fissures</w:t>
      </w:r>
    </w:p>
    <w:p>
      <w:pPr>
        <w:ind w:left="1440" w:right="0"/>
      </w:pPr>
      <w:r>
        <w:rPr>
          <w:rStyle w:val="font_h3"/>
        </w:rPr>
        <w:t xml:space="preserve">4.2.2. Couche primaire</w:t>
      </w:r>
    </w:p>
    <w:p>
      <w:pPr>
        <w:ind w:left="720" w:right="0"/>
      </w:pPr>
      <w:r>
        <w:rPr>
          <w:rStyle w:val="font_h2"/>
        </w:rPr>
        <w:t xml:space="preserve">4.3. Préparation du produit</w:t>
      </w:r>
    </w:p>
    <w:p>
      <w:pPr>
        <w:ind w:left="720" w:right="0"/>
      </w:pPr>
      <w:r>
        <w:rPr>
          <w:rStyle w:val="font_h2"/>
        </w:rPr>
        <w:t xml:space="preserve">4.4. Mise en œuvre</w:t>
      </w:r>
    </w:p>
    <w:p>
      <w:pPr>
        <w:ind w:left="1440" w:right="0"/>
      </w:pPr>
      <w:r>
        <w:rPr>
          <w:rStyle w:val="font_h3"/>
        </w:rPr>
        <w:t xml:space="preserve">4.4.1. Conditions d’ambiance</w:t>
      </w:r>
    </w:p>
    <w:p>
      <w:pPr>
        <w:ind w:left="1440" w:right="0"/>
      </w:pPr>
      <w:r>
        <w:rPr>
          <w:rStyle w:val="font_h3"/>
        </w:rPr>
        <w:t xml:space="preserve">4.4.2. Application en partie courante</w:t>
      </w:r>
    </w:p>
    <w:p>
      <w:pPr>
        <w:ind w:left="720" w:right="0"/>
      </w:pPr>
      <w:r>
        <w:rPr>
          <w:rStyle w:val="font_h2"/>
        </w:rPr>
        <w:t xml:space="preserve">4.5. Traitement des points singuliers</w:t>
      </w:r>
    </w:p>
    <w:p>
      <w:pPr>
        <w:ind w:left="1440" w:right="0"/>
      </w:pPr>
      <w:r>
        <w:rPr>
          <w:rStyle w:val="font_h3"/>
        </w:rPr>
        <w:t xml:space="preserve">4.5.2. Relevés et traitement des angles</w:t>
      </w:r>
    </w:p>
    <w:p>
      <w:pPr>
        <w:ind w:left="1440" w:right="0"/>
      </w:pPr>
      <w:r>
        <w:rPr>
          <w:rStyle w:val="font_h3"/>
        </w:rPr>
        <w:t xml:space="preserve">4.5.3. Joint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 </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1440" w:right="0"/>
      </w:pPr>
      <w:r>
        <w:rPr>
          <w:rStyle w:val="font_h3"/>
        </w:rPr>
        <w:t xml:space="preserve">4.5.4. Seuils</w:t>
      </w:r>
    </w:p>
    <w:p>
      <w:pPr/>
      <w:r>
        <w:rPr/>
        <w:t xml:space="preserve">Validé par le Groupe Spécialisé le 09/11/2021</w:t>
      </w:r>
    </w:p>
    <w:p>
      <w:pPr/>
      <w:r>
        <w:rPr>
          <w:b/>
          <w:bCs/>
        </w:rPr>
        <w:t xml:space="preserve">Description</w:t>
      </w:r>
    </w:p>
    <w:p>
      <w:pPr/>
      <w:r>
        <w:rPr/>
        <w:t xml:space="preserve">Dans le cas de dossiers revendiquant l'utilisation en locaux P4S (cuisines collectives et assimilées), une des deux solutions suivantes peut être mise en œuvre pour le traitement du seuil avec un local non étanché :</w:t>
      </w:r>
    </w:p>
    <w:p>
      <w:pPr>
        <w:pPr/>
        <w:numPr>
          <w:ilvl w:val="0"/>
          <w:numId w:val="10"/>
        </w:numPr>
      </w:pPr>
      <w:r>
        <w:rPr/>
        <w:t xml:space="preserve">Un prolongement du procédé sera effectué de part et d’autre de l’ouverture dans le local adjacent, avec relevé de hauteur de 10 cm minimum sur une profondeur d’au moins 1 m et une largeur d’au moins 50 cm.</w:t>
      </w:r>
    </w:p>
    <w:p>
      <w:pPr>
        <w:pPr/>
        <w:numPr>
          <w:ilvl w:val="0"/>
          <w:numId w:val="10"/>
        </w:numPr>
      </w:pPr>
      <w:r>
        <w:rPr/>
        <w:t xml:space="preserve">Un caniveau, dans le local étanché, adjacent au seuil ou au droit du seuil, qui collecte et évacue l’eau.</w:t>
      </w:r>
    </w:p>
    <w:p>
      <w:pPr/>
      <w:r>
        <w:rPr/>
        <w:t xml:space="preserve">Dans le cas d’un revêtement autre que du carrelage (PVC, textile ou tout autre revêtement existant) dans le local adjacent, on pourra prévoir un ressaut par exemple au moyen d’un profilé de seuil étanche fixé avec une colle époxydique ou avec un chevillage chimique.</w:t>
      </w:r>
    </w:p>
    <w:p>
      <w:pPr>
        <w:ind w:left="1440" w:right="0"/>
      </w:pPr>
      <w:r>
        <w:rPr>
          <w:rStyle w:val="font_h3"/>
        </w:rPr>
        <w:t xml:space="preserve">4.5.5. Dispositifs de collecte et d’évacuation des eaux</w:t>
      </w:r>
    </w:p>
    <w:p>
      <w:pPr>
        <w:ind w:left="1440" w:right="0"/>
      </w:pPr>
      <w:r>
        <w:rPr>
          <w:rStyle w:val="font_h3"/>
        </w:rPr>
        <w:t xml:space="preserve">4.5.6. Traversées de canalisations</w:t>
      </w:r>
    </w:p>
    <w:p>
      <w:pPr>
        <w:ind w:left="1440" w:right="0"/>
      </w:pPr>
      <w:r>
        <w:rPr>
          <w:rStyle w:val="font_h3"/>
        </w:rPr>
        <w:t xml:space="preserve">4.5.7. Scellements</w:t>
      </w:r>
    </w:p>
    <w:p>
      <w:pPr>
        <w:ind w:left="1440" w:right="0"/>
      </w:pPr>
      <w:r>
        <w:rPr>
          <w:rStyle w:val="font_h3"/>
        </w:rPr>
        <w:t xml:space="preserve">4.5.8. Huisseries</w:t>
      </w:r>
    </w:p>
    <w:p>
      <w:pPr>
        <w:ind w:left="1440" w:right="0"/>
      </w:pPr>
      <w:r>
        <w:rPr>
          <w:rStyle w:val="font_h3"/>
        </w:rPr>
        <w:t xml:space="preserve">4.5.9. Appareils sanitaires</w:t>
      </w:r>
    </w:p>
    <w:p>
      <w:pPr>
        <w:ind w:left="720" w:right="0"/>
      </w:pPr>
      <w:r>
        <w:rPr>
          <w:rStyle w:val="font_h2"/>
        </w:rPr>
        <w:t xml:space="preserve">4.6. Protection provisoire en cours de chantier</w:t>
      </w:r>
    </w:p>
    <w:p>
      <w:pPr>
        <w:ind w:left="720" w:right="0"/>
      </w:pPr>
      <w:r>
        <w:rPr>
          <w:rStyle w:val="font_h2"/>
        </w:rPr>
        <w:t xml:space="preserve">4.7. Pose du carrelage</w:t>
      </w:r>
    </w:p>
    <w:p>
      <w:pPr>
        <w:ind w:left="1440" w:right="0"/>
      </w:pPr>
      <w:r>
        <w:rPr>
          <w:rStyle w:val="font_h3"/>
        </w:rPr>
        <w:t xml:space="preserve">4.7.1. Protection dure collée</w:t>
      </w:r>
    </w:p>
    <w:p>
      <w:pPr>
        <w:ind w:left="1440" w:right="0"/>
      </w:pPr>
      <w:r>
        <w:rPr>
          <w:rStyle w:val="font_h3"/>
        </w:rPr>
        <w:t xml:space="preserve">4.7.2. Protection dure désolidarisée</w:t>
      </w:r>
    </w:p>
    <w:p>
      <w:pPr>
        <w:ind w:left="1440" w:right="0"/>
      </w:pPr>
      <w:r>
        <w:rPr>
          <w:rStyle w:val="font_h3"/>
        </w:rPr>
        <w:t xml:space="preserve">4.7.3. Protection dure sur planchers en bois ou en panneaux dérivés du bois</w:t>
      </w:r>
    </w:p>
    <w:p>
      <w:pPr/>
      <w:r>
        <w:rPr>
          <w:rStyle w:val="font_h1"/>
        </w:rPr>
        <w:t xml:space="preserve">5.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16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7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2026-05-17T20:17:08+02:00</dcterms:created>
  <dcterms:modified xsi:type="dcterms:W3CDTF">2026-05-17T20:17:08+02:00</dcterms:modified>
</cp:coreProperties>
</file>

<file path=docProps/custom.xml><?xml version="1.0" encoding="utf-8"?>
<Properties xmlns="http://schemas.openxmlformats.org/officeDocument/2006/custom-properties" xmlns:vt="http://schemas.openxmlformats.org/officeDocument/2006/docPropsVTypes"/>
</file>