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13 - Édité le 22/12/2025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13 « Procédés pour la mise en œuvre des revêtements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Chape allégée</w:t>
      </w:r>
    </w:p>
    <w:p>
      <w:pPr/>
      <w:r>
        <w:rPr>
          <w:rStyle w:val="font_h1"/>
        </w:rPr>
        <w:t xml:space="preserve">1. Description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Nature des supports associés</w:t>
      </w:r>
    </w:p>
    <w:p>
      <w:pPr>
        <w:ind w:left="720" w:right="0"/>
      </w:pPr>
      <w:r>
        <w:rPr>
          <w:rStyle w:val="font_h2"/>
        </w:rPr>
        <w:t xml:space="preserve">2.2. Epaisseur de la chape - choix de l'isolant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Matériaux constitutifs de la chape allégée</w:t>
      </w:r>
    </w:p>
    <w:p>
      <w:pPr>
        <w:ind w:left="1440" w:right="0"/>
      </w:pPr>
      <w:r>
        <w:rPr>
          <w:rStyle w:val="font_h3"/>
        </w:rPr>
        <w:t xml:space="preserve">3.1.1. Agrégats</w:t>
      </w:r>
    </w:p>
    <w:p>
      <w:pPr>
        <w:ind w:left="1440" w:right="0"/>
      </w:pPr>
      <w:r>
        <w:rPr>
          <w:rStyle w:val="font_h3"/>
        </w:rPr>
        <w:t xml:space="preserve">3.1.2. Ciment</w:t>
      </w:r>
    </w:p>
    <w:p>
      <w:pPr>
        <w:ind w:left="1440" w:right="0"/>
      </w:pPr>
      <w:r>
        <w:rPr>
          <w:rStyle w:val="font_h3"/>
        </w:rPr>
        <w:t xml:space="preserve">3.1.3. Eau</w:t>
      </w:r>
    </w:p>
    <w:p>
      <w:pPr>
        <w:ind w:left="1440" w:right="0"/>
      </w:pPr>
      <w:r>
        <w:rPr>
          <w:rStyle w:val="font_h3"/>
        </w:rPr>
        <w:t xml:space="preserve">3.1.4. Sable</w:t>
      </w:r>
    </w:p>
    <w:p>
      <w:pPr>
        <w:ind w:left="1440" w:right="0"/>
      </w:pPr>
      <w:r>
        <w:rPr>
          <w:rStyle w:val="font_h3"/>
        </w:rPr>
        <w:t xml:space="preserve">3.1.5. Fibres</w:t>
      </w:r>
    </w:p>
    <w:p>
      <w:pPr>
        <w:ind w:left="720" w:right="0"/>
      </w:pPr>
      <w:r>
        <w:rPr>
          <w:rStyle w:val="font_h2"/>
        </w:rPr>
        <w:t xml:space="preserve">3.2. Composition du mortier de chape léger type</w:t>
      </w:r>
    </w:p>
    <w:p>
      <w:pPr/>
      <w:r>
        <w:rPr/>
        <w:t xml:space="preserve">Validé par le Groupe Spécialisé le 21/03/2023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Il conviendra d’intégrer dans chaque DTA de chape allégée une valeur minimale de retrait de la chape, sur laquelle le titulaire s'engage.Ceci fera l’objet d’un contrat d’engagement TITULAIRE/CSTB, avec notamment des informations non diffusables sur les matériaux employés dans les formulations.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Engagement du titulaire sur une valeur minimale de retraitélements justificatifs de cette valeur de retrait</w:t>
      </w:r>
    </w:p>
    <w:p>
      <w:pPr>
        <w:ind w:left="720" w:right="0"/>
      </w:pPr>
      <w:r>
        <w:rPr>
          <w:rStyle w:val="font_h2"/>
        </w:rPr>
        <w:t xml:space="preserve">3.3. Caractéristiques du mortier léger durci</w:t>
      </w:r>
    </w:p>
    <w:p>
      <w:pPr>
        <w:ind w:left="720" w:right="0"/>
      </w:pPr>
      <w:r>
        <w:rPr>
          <w:rStyle w:val="font_h2"/>
        </w:rPr>
        <w:t xml:space="preserve">3.4. Conditionnement, livraison et stockage</w:t>
      </w:r>
    </w:p>
    <w:p>
      <w:pPr>
        <w:ind w:left="720" w:right="0"/>
      </w:pPr>
      <w:r>
        <w:rPr>
          <w:rStyle w:val="font_h2"/>
        </w:rPr>
        <w:t xml:space="preserve">3.5. Autres produits associés</w:t>
      </w:r>
    </w:p>
    <w:p>
      <w:pPr/>
      <w:r>
        <w:rPr>
          <w:rStyle w:val="font_h1"/>
        </w:rPr>
        <w:t xml:space="preserve">4. Fabrication</w:t>
      </w:r>
    </w:p>
    <w:p>
      <w:pPr>
        <w:ind w:left="720" w:right="0"/>
      </w:pPr>
      <w:r>
        <w:rPr>
          <w:rStyle w:val="font_h2"/>
        </w:rPr>
        <w:t xml:space="preserve">4.1. Fabrication des billes de polystyrène</w:t>
      </w:r>
    </w:p>
    <w:p>
      <w:pPr>
        <w:ind w:left="720" w:right="0"/>
      </w:pPr>
      <w:r>
        <w:rPr>
          <w:rStyle w:val="font_h2"/>
        </w:rPr>
        <w:t xml:space="preserve">4.2. Centre de fabrication</w:t>
      </w:r>
    </w:p>
    <w:p>
      <w:pPr>
        <w:ind w:left="720" w:right="0"/>
      </w:pPr>
      <w:r>
        <w:rPr>
          <w:rStyle w:val="font_h2"/>
        </w:rPr>
        <w:t xml:space="preserve">4.3. Contrôles</w:t>
      </w:r>
    </w:p>
    <w:p>
      <w:pPr>
        <w:ind w:left="1440" w:right="0"/>
      </w:pPr>
      <w:r>
        <w:rPr>
          <w:rStyle w:val="font_h3"/>
        </w:rPr>
        <w:t xml:space="preserve">4.3.1. Contrôles des billes de polsytyrène</w:t>
      </w:r>
    </w:p>
    <w:p>
      <w:pPr>
        <w:ind w:left="1440" w:right="0"/>
      </w:pPr>
      <w:r>
        <w:rPr>
          <w:rStyle w:val="font_h3"/>
        </w:rPr>
        <w:t xml:space="preserve">4.3.2. Suivi de fabrication du mortier</w:t>
      </w:r>
    </w:p>
    <w:p>
      <w:pPr/>
      <w:r>
        <w:rPr>
          <w:rStyle w:val="font_h1"/>
        </w:rPr>
        <w:t xml:space="preserve">5. Mise en oeuvre de la chape allégée</w:t>
      </w:r>
    </w:p>
    <w:p>
      <w:pPr>
        <w:ind w:left="720" w:right="0"/>
      </w:pPr>
      <w:r>
        <w:rPr>
          <w:rStyle w:val="font_h2"/>
        </w:rPr>
        <w:t xml:space="preserve">5.1. Matériel et outillage</w:t>
      </w:r>
    </w:p>
    <w:p>
      <w:pPr>
        <w:ind w:left="720" w:right="0"/>
      </w:pPr>
      <w:r>
        <w:rPr>
          <w:rStyle w:val="font_h2"/>
        </w:rPr>
        <w:t xml:space="preserve">5.2. Fabrication du mortier</w:t>
      </w:r>
    </w:p>
    <w:p>
      <w:pPr>
        <w:ind w:left="720" w:right="0"/>
      </w:pPr>
      <w:r>
        <w:rPr>
          <w:rStyle w:val="font_h2"/>
        </w:rPr>
        <w:t xml:space="preserve">5.3. Nature et planéité des supports</w:t>
      </w:r>
    </w:p>
    <w:p>
      <w:pPr>
        <w:ind w:left="1440" w:right="0"/>
      </w:pPr>
      <w:r>
        <w:rPr>
          <w:rStyle w:val="font_h3"/>
        </w:rPr>
        <w:t xml:space="preserve">5.3.1. Supports en maçonnerie</w:t>
      </w:r>
    </w:p>
    <w:p>
      <w:pPr>
        <w:ind w:left="1440" w:right="0"/>
      </w:pPr>
      <w:r>
        <w:rPr>
          <w:rStyle w:val="font_h3"/>
        </w:rPr>
        <w:t xml:space="preserve">5.3.2. Supports en bois ou panneaux dérivés du bois</w:t>
      </w:r>
    </w:p>
    <w:p>
      <w:pPr>
        <w:ind w:left="2160" w:right="0"/>
      </w:pPr>
      <w:r>
        <w:rPr>
          <w:rStyle w:val="font_h3"/>
        </w:rPr>
        <w:t xml:space="preserve">5.3.2.1. Capacité portante et flexibilité</w:t>
      </w:r>
    </w:p>
    <w:p>
      <w:pPr>
        <w:ind w:left="2160" w:right="0"/>
      </w:pPr>
      <w:r>
        <w:rPr>
          <w:rStyle w:val="font_h3"/>
        </w:rPr>
        <w:t xml:space="preserve">5.3.2.2. Maintien de l'aération</w:t>
      </w:r>
    </w:p>
    <w:p>
      <w:pPr>
        <w:ind w:left="1440" w:right="0"/>
      </w:pPr>
      <w:r>
        <w:rPr>
          <w:rStyle w:val="font_h3"/>
        </w:rPr>
        <w:t xml:space="preserve">5.3.3. Chapes asphalte</w:t>
      </w:r>
    </w:p>
    <w:p>
      <w:pPr>
        <w:ind w:left="1440" w:right="0"/>
      </w:pPr>
      <w:r>
        <w:rPr>
          <w:rStyle w:val="font_h3"/>
        </w:rPr>
        <w:t xml:space="preserve">5.3.4. Planéité des supports</w:t>
      </w:r>
    </w:p>
    <w:p>
      <w:pPr>
        <w:ind w:left="720" w:right="0"/>
      </w:pPr>
      <w:r>
        <w:rPr>
          <w:rStyle w:val="font_h2"/>
        </w:rPr>
        <w:t xml:space="preserve">5.4. Travaux préliminaires</w:t>
      </w:r>
    </w:p>
    <w:p>
      <w:pPr>
        <w:ind w:left="1440" w:right="0"/>
      </w:pPr>
      <w:r>
        <w:rPr>
          <w:rStyle w:val="font_h3"/>
        </w:rPr>
        <w:t xml:space="preserve">5.4.1. Rattrapage de la planéité et enrobage de canalisation</w:t>
      </w:r>
    </w:p>
    <w:p>
      <w:pPr>
        <w:ind w:left="1440" w:right="0"/>
      </w:pPr>
      <w:r>
        <w:rPr>
          <w:rStyle w:val="font_h3"/>
        </w:rPr>
        <w:t xml:space="preserve">5.4.2. Isolation périphérique</w:t>
      </w:r>
    </w:p>
    <w:p>
      <w:pPr>
        <w:ind w:left="1440" w:right="0"/>
      </w:pPr>
      <w:r>
        <w:rPr>
          <w:rStyle w:val="font_h3"/>
        </w:rPr>
        <w:t xml:space="preserve">5.4.3. Traitement de l'emplacement d'éléments particuliers</w:t>
      </w:r>
    </w:p>
    <w:p>
      <w:pPr>
        <w:ind w:left="1440" w:right="0"/>
      </w:pPr>
      <w:r>
        <w:rPr>
          <w:rStyle w:val="font_h3"/>
        </w:rPr>
        <w:t xml:space="preserve">5.4.4. Cas d'une chape adhérente</w:t>
      </w:r>
    </w:p>
    <w:p>
      <w:pPr>
        <w:ind w:left="1440" w:right="0"/>
      </w:pPr>
      <w:r>
        <w:rPr>
          <w:rStyle w:val="font_h3"/>
        </w:rPr>
        <w:t xml:space="preserve">5.4.5. Cas d'une chape désolidarisée</w:t>
      </w:r>
    </w:p>
    <w:p>
      <w:pPr>
        <w:ind w:left="2160" w:right="0"/>
      </w:pPr>
      <w:r>
        <w:rPr>
          <w:rStyle w:val="font_h3"/>
        </w:rPr>
        <w:t xml:space="preserve">5.4.5.1. Pose sur plancher béton</w:t>
      </w:r>
    </w:p>
    <w:p>
      <w:pPr>
        <w:ind w:left="2160" w:right="0"/>
      </w:pPr>
      <w:r>
        <w:rPr>
          <w:rStyle w:val="font_h3"/>
        </w:rPr>
        <w:t xml:space="preserve">5.4.5.2. Cas d'un dallage sur terre-plein, vide sanitaire, d'un plancher bois ou d'une chape asphalte</w:t>
      </w:r>
    </w:p>
    <w:p>
      <w:pPr>
        <w:ind w:left="1440" w:right="0"/>
      </w:pPr>
      <w:r>
        <w:rPr>
          <w:rStyle w:val="font_h3"/>
        </w:rPr>
        <w:t xml:space="preserve">5.4.6. Cas d'une chape sous sous-couche acoustique mince</w:t>
      </w:r>
    </w:p>
    <w:p>
      <w:pPr>
        <w:ind w:left="1440" w:right="0"/>
      </w:pPr>
      <w:r>
        <w:rPr>
          <w:rStyle w:val="font_h3"/>
        </w:rPr>
        <w:t xml:space="preserve">5.4.7. Repères de niveau de la chape</w:t>
      </w:r>
    </w:p>
    <w:p>
      <w:pPr>
        <w:ind w:left="1440" w:right="0"/>
      </w:pPr>
      <w:r>
        <w:rPr>
          <w:rStyle w:val="font_h3"/>
        </w:rPr>
        <w:t xml:space="preserve">5.4.8. Mise en place d'armatures</w:t>
      </w:r>
    </w:p>
    <w:p>
      <w:pPr>
        <w:ind w:left="720" w:right="0"/>
      </w:pPr>
      <w:r>
        <w:rPr>
          <w:rStyle w:val="font_h2"/>
        </w:rPr>
        <w:t xml:space="preserve">5.5. Mise en place de la chape</w:t>
      </w:r>
    </w:p>
    <w:p>
      <w:pPr>
        <w:ind w:left="1440" w:right="0"/>
      </w:pPr>
      <w:r>
        <w:rPr>
          <w:rStyle w:val="font_h3"/>
        </w:rPr>
        <w:t xml:space="preserve">5.5.1. Pompage</w:t>
      </w:r>
    </w:p>
    <w:p>
      <w:pPr>
        <w:ind w:left="1440" w:right="0"/>
      </w:pPr>
      <w:r>
        <w:rPr>
          <w:rStyle w:val="font_h3"/>
        </w:rPr>
        <w:t xml:space="preserve">5.5.2. Mise en place de la chape</w:t>
      </w:r>
    </w:p>
    <w:p>
      <w:pPr>
        <w:ind w:left="1440" w:right="0"/>
      </w:pPr>
      <w:r>
        <w:rPr>
          <w:rStyle w:val="font_h3"/>
        </w:rPr>
        <w:t xml:space="preserve">5.5.3. Finition de la surface et pulvérisation du produit de cure NF non solvanté</w:t>
      </w:r>
    </w:p>
    <w:p>
      <w:pPr>
        <w:ind w:left="720" w:right="0"/>
      </w:pPr>
      <w:r>
        <w:rPr>
          <w:rStyle w:val="font_h2"/>
        </w:rPr>
        <w:t xml:space="preserve">5.6. Travaux de finition</w:t>
      </w:r>
    </w:p>
    <w:p>
      <w:pPr>
        <w:ind w:left="1440" w:right="0"/>
      </w:pPr>
      <w:r>
        <w:rPr>
          <w:rStyle w:val="font_h3"/>
        </w:rPr>
        <w:t xml:space="preserve">5.6.1. Protection de la chape</w:t>
      </w:r>
    </w:p>
    <w:p>
      <w:pPr>
        <w:ind w:left="1440" w:right="0"/>
      </w:pPr>
      <w:r>
        <w:rPr>
          <w:rStyle w:val="font_h3"/>
        </w:rPr>
        <w:t xml:space="preserve">5.6.2. Délai de séchage et mise en service de la chape</w:t>
      </w:r>
    </w:p>
    <w:p>
      <w:pPr>
        <w:ind w:left="1440" w:right="0"/>
      </w:pPr>
      <w:r>
        <w:rPr>
          <w:rStyle w:val="font_h3"/>
        </w:rPr>
        <w:t xml:space="preserve">5.6.3. Réalisation des joints</w:t>
      </w:r>
    </w:p>
    <w:p>
      <w:pPr>
        <w:ind w:left="1440" w:right="0"/>
      </w:pPr>
      <w:r>
        <w:rPr>
          <w:rStyle w:val="font_h3"/>
        </w:rPr>
        <w:t xml:space="preserve">5.6.4. Réparation des fissures</w:t>
      </w:r>
    </w:p>
    <w:p>
      <w:pPr>
        <w:ind w:left="1440" w:right="0"/>
      </w:pPr>
      <w:r>
        <w:rPr>
          <w:rStyle w:val="font_h3"/>
        </w:rPr>
        <w:t xml:space="preserve">5.6.5. Elimination de la pellicule de surface</w:t>
      </w:r>
    </w:p>
    <w:p>
      <w:pPr>
        <w:ind w:left="720" w:right="0"/>
      </w:pPr>
      <w:r>
        <w:rPr>
          <w:rStyle w:val="font_h2"/>
        </w:rPr>
        <w:t xml:space="preserve">5.7. Tolérances d'exécution</w:t>
      </w:r>
    </w:p>
    <w:p>
      <w:pPr/>
      <w:r>
        <w:rPr>
          <w:rStyle w:val="font_h1"/>
        </w:rPr>
        <w:t xml:space="preserve">6. Pose des revêtements de sol</w:t>
      </w:r>
    </w:p>
    <w:p>
      <w:pPr>
        <w:ind w:left="720" w:right="0"/>
      </w:pPr>
      <w:r>
        <w:rPr>
          <w:rStyle w:val="font_h2"/>
        </w:rPr>
        <w:t xml:space="preserve">6.1. Pose des revêtements de sol</w:t>
      </w:r>
    </w:p>
    <w:p>
      <w:pPr>
        <w:ind w:left="1440" w:right="0"/>
      </w:pPr>
      <w:r>
        <w:rPr>
          <w:rStyle w:val="font_h3"/>
        </w:rPr>
        <w:t xml:space="preserve">6.1.1. Préparation de la chape</w:t>
      </w:r>
    </w:p>
    <w:p>
      <w:pPr>
        <w:ind w:left="1440" w:right="0"/>
      </w:pPr>
      <w:r>
        <w:rPr>
          <w:rStyle w:val="font_h3"/>
        </w:rPr>
        <w:t xml:space="preserve">6.1.2. Pose collée de revêtement</w:t>
      </w:r>
    </w:p>
    <w:p>
      <w:pPr>
        <w:ind w:left="2160" w:right="0"/>
      </w:pPr>
      <w:r>
        <w:rPr>
          <w:rStyle w:val="font_h3"/>
        </w:rPr>
        <w:t xml:space="preserve">6.1.2.1. Pose collée de carrelage</w:t>
      </w:r>
    </w:p>
    <w:p>
      <w:pPr>
        <w:ind w:left="2160" w:right="0"/>
      </w:pPr>
      <w:r>
        <w:rPr>
          <w:rStyle w:val="font_h3"/>
        </w:rPr>
        <w:t xml:space="preserve">6.1.2.2. Pose collée des revêtements textiles perméales hors fibres naturelles</w:t>
      </w:r>
    </w:p>
    <w:p>
      <w:pPr/>
      <w:r>
        <w:rPr>
          <w:rStyle w:val="font_h1"/>
        </w:rPr>
        <w:t xml:space="preserve">7. Assistance technique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>
          <w:rStyle w:val="font_h1"/>
        </w:rPr>
        <w:t xml:space="preserve">9. Références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2025-12-22T08:03:27+01:00</dcterms:created>
  <dcterms:modified xsi:type="dcterms:W3CDTF">2025-12-22T08:03:27+01:00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