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Elément de remplissage de façade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Les règles de conception, de fabrication et de mise en œuvre sont précisées dans les cahiers du CSTB 2102, 3075, 3076.Préciser et justifier le domaine d’emploi du système en zone sismique.</w:t>
      </w:r>
    </w:p>
    <w:p>
      <w:pPr/>
      <w:r>
        <w:rPr>
          <w:rStyle w:val="font_h1"/>
        </w:rPr>
        <w:t xml:space="preserve">2. Description du procédé</w:t>
      </w:r>
    </w:p>
    <w:p>
      <w:pPr>
        <w:ind w:left="720" w:right="0"/>
      </w:pPr>
      <w:r>
        <w:rPr>
          <w:rStyle w:val="font_h2"/>
        </w:rPr>
        <w:t xml:space="preserve">2.1. Caractéristiques d'identification du procédé</w:t>
      </w:r>
    </w:p>
    <w:p>
      <w:pPr>
        <w:ind w:left="1440" w:right="0"/>
      </w:pPr>
      <w:r>
        <w:rPr>
          <w:rStyle w:val="font_h3"/>
        </w:rPr>
        <w:t xml:space="preserve">2.1.1. Classement EdR</w:t>
      </w:r>
    </w:p>
    <w:p>
      <w:pPr/>
      <w:r>
        <w:rPr/>
        <w:t xml:space="preserve">Validé par le Groupe Spécialisé le 06/03/2018</w:t>
      </w:r>
    </w:p>
    <w:p>
      <w:pPr/>
      <w:r>
        <w:rPr>
          <w:b/>
          <w:bCs/>
        </w:rPr>
        <w:t xml:space="preserve">Description</w:t>
      </w:r>
    </w:p>
    <w:p>
      <w:pPr/>
      <w:r>
        <w:rPr/>
        <w:t xml:space="preserve">Fournir le classement EdR des panneaux (E=comportement à l’eau, d=durabilité de la paroi extérieure, R=résistance du point de vue de la sécurité, et éventuellement K=isolation thermique).</w:t>
      </w:r>
    </w:p>
    <w:p>
      <w:pPr>
        <w:ind w:left="1440" w:right="0"/>
      </w:pPr>
      <w:r>
        <w:rPr>
          <w:rStyle w:val="font_h3"/>
        </w:rPr>
        <w:t xml:space="preserve">2.1.2. Colle</w:t>
      </w:r>
    </w:p>
    <w:p>
      <w:pPr/>
      <w:r>
        <w:rPr/>
        <w:t xml:space="preserve">Validé par le Groupe Spécialisé le 06/03/2018</w:t>
      </w:r>
    </w:p>
    <w:p>
      <w:pPr/>
      <w:r>
        <w:rPr>
          <w:b/>
          <w:bCs/>
        </w:rPr>
        <w:t xml:space="preserve">Description</w:t>
      </w:r>
    </w:p>
    <w:p>
      <w:pPr/>
      <w:r>
        <w:rPr/>
        <w:t xml:space="preserve">Fournir les caractéristiques et le grammage des colles déposées sur les panneaux.</w:t>
      </w:r>
    </w:p>
    <w:p>
      <w:pPr>
        <w:ind w:left="1440" w:right="0"/>
      </w:pPr>
      <w:r>
        <w:rPr>
          <w:rStyle w:val="font_h3"/>
        </w:rPr>
        <w:t xml:space="preserve">2.1.3. Parois</w:t>
      </w:r>
    </w:p>
    <w:p>
      <w:pPr/>
      <w:r>
        <w:rPr/>
        <w:t xml:space="preserve">Validé par le Groupe Spécialisé le 06/03/2018</w:t>
      </w:r>
    </w:p>
    <w:p>
      <w:pPr/>
      <w:r>
        <w:rPr>
          <w:b/>
          <w:bCs/>
        </w:rPr>
        <w:t xml:space="preserve">Description</w:t>
      </w:r>
    </w:p>
    <w:p>
      <w:pPr/>
      <w:r>
        <w:rPr/>
        <w:t xml:space="preserve">Fournir les caractéristiques des parois intérieure et extérieure.</w:t>
      </w:r>
    </w:p>
    <w:p>
      <w:pPr/>
      <w:r>
        <w:rPr>
          <w:b/>
          <w:bCs/>
        </w:rPr>
        <w:t xml:space="preserve">Justification</w:t>
      </w:r>
    </w:p>
    <w:p>
      <w:pPr/>
      <w:r>
        <w:rPr/>
        <w:t xml:space="preserve">Masse volumique, résistance à la flexion, perméance à la vapeur d’eau...</w:t>
      </w:r>
    </w:p>
    <w:p>
      <w:pPr>
        <w:ind w:left="1440" w:right="0"/>
      </w:pPr>
      <w:r>
        <w:rPr>
          <w:rStyle w:val="font_h3"/>
        </w:rPr>
        <w:t xml:space="preserve">2.1.4. Isolant</w:t>
      </w:r>
    </w:p>
    <w:p>
      <w:pPr/>
      <w:r>
        <w:rPr/>
        <w:t xml:space="preserve">Validé par le Groupe Spécialisé le 06/03/2018</w:t>
      </w:r>
    </w:p>
    <w:p>
      <w:pPr/>
      <w:r>
        <w:rPr>
          <w:b/>
          <w:bCs/>
        </w:rPr>
        <w:t xml:space="preserve">Description</w:t>
      </w:r>
    </w:p>
    <w:p>
      <w:pPr/>
      <w:r>
        <w:rPr/>
        <w:t xml:space="preserve">Décrire les âmes isolantes et fournir la masse volumique.</w:t>
      </w:r>
    </w:p>
    <w:p>
      <w:pPr/>
      <w:r>
        <w:rPr>
          <w:b/>
          <w:bCs/>
        </w:rPr>
        <w:t xml:space="preserve">Justification</w:t>
      </w:r>
    </w:p>
    <w:p>
      <w:pPr/>
      <w:r>
        <w:rPr/>
        <w:t xml:space="preserve">Fournir le certificat ACERMI des âmes isolantes.</w:t>
      </w:r>
    </w:p>
    <w:p>
      <w:pPr>
        <w:ind w:left="1440" w:right="0"/>
      </w:pPr>
      <w:r>
        <w:rPr>
          <w:rStyle w:val="font_h3"/>
        </w:rPr>
        <w:t xml:space="preserve">2.1.5. Isolant biosourcé</w:t>
      </w:r>
    </w:p>
    <w:p>
      <w:pPr/>
      <w:r>
        <w:rPr/>
        <w:t xml:space="preserve">Validé par le Groupe Spécialisé le 22/10/2024</w:t>
      </w:r>
    </w:p>
    <w:p>
      <w:pPr/>
      <w:r>
        <w:rPr>
          <w:b/>
          <w:bCs/>
        </w:rPr>
        <w:t xml:space="preserve">Description</w:t>
      </w:r>
    </w:p>
    <w:p>
      <w:pPr/>
      <w:r>
        <w:rPr/>
        <w:t xml:space="preserve">Les isolants biosourcés mis en œuvre dans des éléments de remplissage doivent faire l’objet d’un Avis Technique ou d’un Document Technique d’Evaluation de la famille d’isolant à base de fibres animales ou végétales, et d’un classement ACERMI ou KEYMARK.</w:t>
      </w:r>
    </w:p>
    <w:p>
      <w:pPr/>
      <w:r>
        <w:rPr/>
        <w:t xml:space="preserve">Le protocole d’essai permettant de valider des isolants biosourcés validé par le GS 2.1 et le GS20 est décrit ci-dessous : </w:t>
      </w:r>
    </w:p>
    <w:p>
      <w:pPr/>
      <w:r>
        <w:rPr/>
        <w:t xml:space="preserve">❖ Prérequis : </w:t>
      </w:r>
    </w:p>
    <w:p>
      <w:pPr/>
      <w:r>
        <w:rPr/>
        <w:t xml:space="preserve">Définir les isolants biosourcés visés, exemple : « sont visés les isolants biosourcés faisant l’objet d’un Avis Technique du GS 20 et classés semi-rigides. »</w:t>
      </w:r>
    </w:p>
    <w:p>
      <w:pPr/>
      <w:r>
        <w:rPr/>
        <w:t xml:space="preserve">Obtenir l’accord du fabriquant de l’isolant pour l’utilisation dans les éléments de remplissage. Avec le fabricant, définir le seuil limité de l’humidité mesuré dans l’isolant sans dépasser le seuil définit dans les Avis Techniques. </w:t>
      </w:r>
    </w:p>
    <w:p>
      <w:pPr/>
      <w:r>
        <w:rPr/>
        <w:t xml:space="preserve">Intégrer dans le plan d’assurance qualité, le contrôle de l’humidité des isolants et du cadre bois avant la fabrication des éléments de remplissage. Il sera nécessaire de déterminer le seuil limite pour chaque isolant et l’encadrement bois avant la mise en œuvre. </w:t>
      </w:r>
    </w:p>
    <w:p>
      <w:pPr/>
      <w:r>
        <w:rPr/>
        <w:t xml:space="preserve">Préciser si les locaux climatisés sont visés et en cas affirmatif, analyser si cette climatisation peut résulter dans l’inversement des flux à prendre en compte dans les essais à réaliser.</w:t>
      </w:r>
    </w:p>
    <w:p>
      <w:pPr/>
      <w:r>
        <w:rPr/>
        <w:t xml:space="preserve">❖ Réalisation d’une étude hygrothermique </w:t>
      </w:r>
    </w:p>
    <w:p>
      <w:pPr/>
      <w:r>
        <w:rPr/>
        <w:t xml:space="preserve">Réaliser une étude hygrothermique sur l’EdR en tenant compte des ambiances intérieures et extérieures à considérer. L’étude devra être réalisée conformément aux hypothèses définies dans le guide SimHuBat. Les épaisseurs minimales, maximales et intermédiaires seront à calculer dans l’étude des transferts hygrothermiques.</w:t>
      </w:r>
    </w:p>
    <w:p>
      <w:pPr/>
      <w:r>
        <w:rPr/>
        <w:t xml:space="preserve">❖ Essais</w:t>
      </w:r>
    </w:p>
    <w:p>
      <w:pPr/>
      <w:r>
        <w:rPr/>
        <w:t xml:space="preserve">Note pour tous les essais : mesurer le taux d’humidité dans les bois et dans l’isolant avant les essais. </w:t>
      </w:r>
    </w:p>
    <w:p>
      <w:pPr/>
      <w:r>
        <w:rPr/>
        <w:t xml:space="preserve">o Essais durabilité colle : Essai de compatibilité entre colle et l’isolant à réaliser (notamment compatibilité chimique)</w:t>
      </w:r>
    </w:p>
    <w:p>
      <w:pPr/>
      <w:r>
        <w:rPr/>
        <w:t xml:space="preserve">o Essais de résistance au développement fongique : </w:t>
      </w:r>
    </w:p>
    <w:p>
      <w:pPr/>
      <w:r>
        <w:rPr/>
        <w:t xml:space="preserve">Isolant pas forcément résistant au développement </w:t>
      </w:r>
    </w:p>
    <w:p>
      <w:pPr/>
      <w:r>
        <w:rPr/>
        <w:t xml:space="preserve">• Faire l’essai avec l’isolant et la colle (sans la tôle) – protocole du 3713-V3 </w:t>
      </w:r>
    </w:p>
    <w:p>
      <w:pPr/>
      <w:r>
        <w:rPr/>
        <w:t xml:space="preserve">• Cycles FLORIDA : tester sur les 1er échantillons + Cycles Africains</w:t>
      </w:r>
    </w:p>
    <w:p>
      <w:pPr/>
      <w:r>
        <w:rPr/>
        <w:t xml:space="preserve">En complément, pour les essais à réaliser sur l'EdR : </w:t>
      </w:r>
    </w:p>
    <w:p>
      <w:pPr/>
      <w:r>
        <w:rPr/>
        <w:t xml:space="preserve">o Essai mécanique : </w:t>
      </w:r>
    </w:p>
    <w:p>
      <w:pPr/>
      <w:r>
        <w:rPr/>
        <w:t xml:space="preserve">Essais avant vieillissement :</w:t>
      </w:r>
    </w:p>
    <w:p>
      <w:pPr/>
      <w:r>
        <w:rPr/>
        <w:t xml:space="preserve">• Essais mécaniques : Traction perpendiculaire et parallèle à la face de l'isolant</w:t>
      </w:r>
    </w:p>
    <w:p>
      <w:pPr/>
      <w:r>
        <w:rPr/>
        <w:t xml:space="preserve">Vieillissement de l’assemblage :</w:t>
      </w:r>
    </w:p>
    <w:p>
      <w:pPr/>
      <w:r>
        <w:rPr/>
        <w:t xml:space="preserve">• 5 jours à +70°C et 90 % d'humidité relative</w:t>
      </w:r>
    </w:p>
    <w:p>
      <w:pPr/>
      <w:r>
        <w:rPr/>
        <w:t xml:space="preserve">• 1 jour à -20°C</w:t>
      </w:r>
    </w:p>
    <w:p>
      <w:pPr/>
      <w:r>
        <w:rPr/>
        <w:t xml:space="preserve">• 1 jour à +90 °C dans des conditions sèches</w:t>
      </w:r>
    </w:p>
    <w:p>
      <w:pPr/>
      <w:r>
        <w:rPr/>
        <w:t xml:space="preserve">Essais après vieillissement :</w:t>
      </w:r>
    </w:p>
    <w:p>
      <w:pPr/>
      <w:r>
        <w:rPr/>
        <w:t xml:space="preserve">• Essais mécaniques : Traction perpendiculaire et parallèle à la face de l'isolant</w:t>
      </w:r>
    </w:p>
    <w:p>
      <w:pPr/>
      <w:r>
        <w:rPr/>
        <w:t xml:space="preserve">Interprétation des résultats : </w:t>
      </w:r>
    </w:p>
    <w:p>
      <w:pPr/>
      <w:r>
        <w:rPr/>
        <w:t xml:space="preserve">• Définir le delta et le seuil bas à ne pas dépasser</w:t>
      </w:r>
    </w:p>
    <w:p>
      <w:pPr/>
      <w:r>
        <w:rPr/>
        <w:t xml:space="preserve">• Point de vigilance à surveiller : dilatation du cadre bois, vérifier la continuité du cadre bois (étanchéité pas plan de collage à vérifier après les 2 propositions de vieillissement. </w:t>
      </w:r>
    </w:p>
    <w:p>
      <w:pPr/>
      <w:r>
        <w:rPr/>
        <w:t xml:space="preserve">• Réaliser les essais mécaniques aussi avec de la laine de roche minérale afin d’obtenir des valeurspouvant être comparées à celles obtenues pour l’isolant biosourcé</w:t>
      </w:r>
    </w:p>
    <w:p>
      <w:pPr/>
      <w:r>
        <w:rPr/>
        <w:t xml:space="preserve">❖ Durabilité : </w:t>
      </w:r>
    </w:p>
    <w:p>
      <w:pPr>
        <w:pPr/>
        <w:numPr>
          <w:ilvl w:val="0"/>
          <w:numId w:val="9"/>
        </w:numPr>
      </w:pPr>
      <w:r>
        <w:rPr/>
        <w:t xml:space="preserve">Prérequis : Certificat ACERMI + cf. ci-dessous </w:t>
      </w:r>
    </w:p>
    <w:p>
      <w:pPr/>
      <w:r>
        <w:rPr/>
        <w:t xml:space="preserve">Pour valeur du lambda si à l’extérieur, faire un vieillissement type gel/dégel - perte de lambda après le vieillissement ➔ Indication du lambda utile à l’extérieur (valeur dégradée)</w:t>
      </w:r>
    </w:p>
    <w:p>
      <w:pPr/>
      <w:r>
        <w:rPr/>
        <w:t xml:space="preserve">• Proposition réaliser un essai complémentaire sur une éprouvette avec les tôles, la colle et l’isolant</w:t>
      </w:r>
    </w:p>
    <w:p>
      <w:pPr/>
      <w:r>
        <w:rPr/>
        <w:t xml:space="preserve">• Hors vieillissement avec immersion – absorption d’eau à court terme + gel/dégel </w:t>
      </w:r>
    </w:p>
    <w:p>
      <w:pPr>
        <w:pPr/>
        <w:numPr>
          <w:ilvl w:val="0"/>
          <w:numId w:val="10"/>
        </w:numPr>
      </w:pPr>
      <w:r>
        <w:rPr/>
        <w:t xml:space="preserve">Vieillissement de l’assemblage :</w:t>
      </w:r>
    </w:p>
    <w:p>
      <w:pPr/>
      <w:r>
        <w:rPr/>
        <w:t xml:space="preserve">• Une alternance de cycles pendant 3 mois sera réalisée : </w:t>
      </w:r>
    </w:p>
    <w:p>
      <w:pPr/>
      <w:r>
        <w:rPr/>
        <w:t xml:space="preserve">o Un cycle de 14 jours à 1°C avec le maximum d’humidité (environ 90%HR)</w:t>
      </w:r>
    </w:p>
    <w:p>
      <w:pPr/>
      <w:r>
        <w:rPr/>
        <w:t xml:space="preserve">o Un cycle de 14 jours à 12°C, avec le maximum d’humidité (environ 90%HR)</w:t>
      </w:r>
    </w:p>
    <w:p>
      <w:pPr/>
      <w:r>
        <w:rPr/>
        <w:t xml:space="preserve">o Un cycle de 14 jours à 28°C ; 85 ou 95 %HR</w:t>
      </w:r>
    </w:p>
    <w:p>
      <w:pPr/>
      <w:r>
        <w:rPr/>
        <w:t xml:space="preserve">Attention : condensation dans les panneaux durant les essais – matériau secs avec le 1er cycle (humidité à mesurer) </w:t>
      </w:r>
    </w:p>
    <w:p>
      <w:pPr/>
      <w:r>
        <w:rPr/>
        <w:t xml:space="preserve">Prévoir un profilé de façade pour la réalisation des essais. </w:t>
      </w:r>
    </w:p>
    <w:p>
      <w:pPr>
        <w:pPr/>
        <w:numPr>
          <w:ilvl w:val="0"/>
          <w:numId w:val="11"/>
        </w:numPr>
      </w:pPr>
      <w:r>
        <w:rPr/>
        <w:t xml:space="preserve">Analyse après vieillissement :</w:t>
      </w:r>
    </w:p>
    <w:p>
      <w:pPr/>
      <w:r>
        <w:rPr/>
        <w:t xml:space="preserve">• Analyse du développement fongique, elle comprendra : </w:t>
      </w:r>
    </w:p>
    <w:p>
      <w:pPr/>
      <w:r>
        <w:rPr/>
        <w:t xml:space="preserve">o Une analyse visuelle de la fibre de bois </w:t>
      </w:r>
    </w:p>
    <w:p>
      <w:pPr/>
      <w:r>
        <w:rPr/>
        <w:t xml:space="preserve">o Une analyse au microscope (x20 et x50)</w:t>
      </w:r>
    </w:p>
    <w:p>
      <w:pPr/>
      <w:r>
        <w:rPr/>
        <w:t xml:space="preserve">o Une analyse quantitative : analyse décrite dans la norme NF EN 17886 </w:t>
      </w:r>
    </w:p>
    <w:p>
      <w:pPr/>
      <w:r>
        <w:rPr/>
        <w:t xml:space="preserve">• Essai thermique : </w:t>
      </w:r>
    </w:p>
    <w:p>
      <w:pPr/>
      <w:r>
        <w:rPr/>
        <w:t xml:space="preserve">Détermination du lambda après les cycles et comparaison de la valeur du lambda dégradé avec la valeur obtenue après les cycles gel/dégel </w:t>
      </w:r>
    </w:p>
    <w:p>
      <w:pPr/>
      <w:r>
        <w:rPr/>
        <w:t xml:space="preserve">o Proposition réaliser l’essai avec les éprouvettes avec les tôles, la colle et l’isolant sur échantillon neuf et vieilli </w:t>
      </w:r>
    </w:p>
    <w:p>
      <w:pPr>
        <w:pPr/>
        <w:numPr>
          <w:ilvl w:val="0"/>
          <w:numId w:val="12"/>
        </w:numPr>
      </w:pPr>
      <w:r>
        <w:rPr/>
        <w:t xml:space="preserve">Optionnel :</w:t>
      </w:r>
    </w:p>
    <w:p>
      <w:pPr/>
      <w:r>
        <w:rPr/>
        <w:t xml:space="preserve">De même pour le développement fongique, serait-il pertinent de proposer un essai après le vieillissement et un autre après l'essai en chambre bi-climatique, en prélevant des échantillons sur l'isolant ? </w:t>
      </w:r>
    </w:p>
    <w:p>
      <w:pPr/>
      <w:r>
        <w:rPr/>
        <w:t xml:space="preserve">• Essai en chambre bi-climatique (maquette plus petite que sur le banc d’embuage): Extérieur à -20°C et intérieur à 20°C/50%.</w:t>
      </w:r>
    </w:p>
    <w:p>
      <w:pPr>
        <w:pPr/>
        <w:numPr>
          <w:ilvl w:val="0"/>
          <w:numId w:val="13"/>
        </w:numPr>
      </w:pPr>
      <w:r>
        <w:rPr/>
        <w:t xml:space="preserve">Suivi : </w:t>
      </w:r>
    </w:p>
    <w:p>
      <w:pPr/>
      <w:r>
        <w:rPr/>
        <w:t xml:space="preserve">Suivi à proposer dans le cadre de l’Avis Technique du GS 2.1, pour suivre un panneau qui a été mis en œuvre + Prévoir une consultation du GS 20 sur l’Avis Technique</w:t>
      </w:r>
    </w:p>
    <w:p>
      <w:pPr>
        <w:ind w:left="720" w:right="0"/>
      </w:pPr>
      <w:r>
        <w:rPr>
          <w:rStyle w:val="font_h2"/>
        </w:rPr>
        <w:t xml:space="preserve">2.2. Caractéristiques d'aptitude à l'emploi</w:t>
      </w:r>
    </w:p>
    <w:p>
      <w:pPr>
        <w:ind w:left="1440" w:right="0"/>
      </w:pPr>
      <w:r>
        <w:rPr>
          <w:rStyle w:val="font_h3"/>
        </w:rPr>
        <w:t xml:space="preserve">2.2.1. Vent</w:t>
      </w:r>
    </w:p>
    <w:p>
      <w:pPr/>
      <w:r>
        <w:rPr/>
        <w:t xml:space="preserve">Validé par le Groupe Spécialisé le 06/03/2018</w:t>
      </w:r>
    </w:p>
    <w:p>
      <w:pPr/>
      <w:r>
        <w:rPr>
          <w:b/>
          <w:bCs/>
        </w:rPr>
        <w:t xml:space="preserve">Description</w:t>
      </w:r>
    </w:p>
    <w:p>
      <w:pPr/>
      <w:r>
        <w:rPr/>
        <w:t xml:space="preserve">Etablir les tableaux de charge au vent des panneaux.</w:t>
      </w:r>
    </w:p>
    <w:p>
      <w:pPr>
        <w:ind w:left="1440" w:right="0"/>
      </w:pPr>
      <w:r>
        <w:rPr>
          <w:rStyle w:val="font_h3"/>
        </w:rPr>
        <w:t xml:space="preserve">2.2.2. Feu</w:t>
      </w:r>
    </w:p>
    <w:p>
      <w:pPr/>
      <w:r>
        <w:rPr/>
        <w:t xml:space="preserve">Validé par le Groupe Spécialisé le 06/03/2018</w:t>
      </w:r>
    </w:p>
    <w:p>
      <w:pPr/>
      <w:r>
        <w:rPr>
          <w:b/>
          <w:bCs/>
        </w:rPr>
        <w:t xml:space="preserve">Description</w:t>
      </w:r>
    </w:p>
    <w:p>
      <w:pPr/>
      <w:r>
        <w:rPr/>
        <w:t xml:space="preserve">Fournir le PV feu de moins de 5 ans pour les matériaux composants les EdR.</w:t>
      </w:r>
    </w:p>
    <w:p>
      <w:pPr>
        <w:ind w:left="1440" w:right="0"/>
      </w:pPr>
      <w:r>
        <w:rPr>
          <w:rStyle w:val="font_h3"/>
        </w:rPr>
        <w:t xml:space="preserve">2.2.3. Tenue mécanique</w:t>
      </w:r>
    </w:p>
    <w:p>
      <w:pPr/>
      <w:r>
        <w:rPr/>
        <w:t xml:space="preserve">Validé par le Groupe Spécialisé le 06/03/2018</w:t>
      </w:r>
    </w:p>
    <w:p>
      <w:pPr/>
      <w:r>
        <w:rPr>
          <w:b/>
          <w:bCs/>
        </w:rPr>
        <w:t xml:space="preserve">Description</w:t>
      </w:r>
    </w:p>
    <w:p>
      <w:pPr/>
      <w:r>
        <w:rPr/>
        <w:t xml:space="preserve">Vérifier la tenue des colles par des essais de traction à l’état neuf et après vieillissement.</w:t>
      </w:r>
    </w:p>
    <w:p>
      <w:pPr>
        <w:ind w:left="1440" w:right="0"/>
      </w:pPr>
      <w:r>
        <w:rPr>
          <w:rStyle w:val="font_h3"/>
        </w:rPr>
        <w:t xml:space="preserve">2.2.4. Choc</w:t>
      </w:r>
    </w:p>
    <w:p>
      <w:pPr/>
      <w:r>
        <w:rPr/>
        <w:t xml:space="preserve">Validé par le Groupe Spécialisé le 06/03/2018</w:t>
      </w:r>
    </w:p>
    <w:p>
      <w:pPr/>
      <w:r>
        <w:rPr>
          <w:b/>
          <w:bCs/>
        </w:rPr>
        <w:t xml:space="preserve">Description</w:t>
      </w:r>
    </w:p>
    <w:p>
      <w:pPr/>
      <w:r>
        <w:rPr/>
        <w:t xml:space="preserve">Remplissages participant à la sécurité aux chutes des personnes</w:t>
      </w:r>
    </w:p>
    <w:p>
      <w:pPr/>
      <w:r>
        <w:rPr>
          <w:b/>
          <w:bCs/>
        </w:rPr>
        <w:t xml:space="preserve">Justification</w:t>
      </w:r>
    </w:p>
    <w:p>
      <w:pPr/>
      <w:r>
        <w:rPr/>
        <w:t xml:space="preserve">Vérification expérimentale de leur résistance suivant la P 08-302.</w:t>
      </w:r>
    </w:p>
    <w:p>
      <w:pPr>
        <w:ind w:left="1440" w:right="0"/>
      </w:pPr>
      <w:r>
        <w:rPr>
          <w:rStyle w:val="font_h3"/>
        </w:rPr>
        <w:t xml:space="preserve">2.2.5. Acoustique</w:t>
      </w:r>
    </w:p>
    <w:p>
      <w:pPr/>
      <w:r>
        <w:rPr/>
        <w:t xml:space="preserve">Validé par le Groupe Spécialisé le 06/03/2018</w:t>
      </w:r>
    </w:p>
    <w:p>
      <w:pPr/>
      <w:r>
        <w:rPr>
          <w:b/>
          <w:bCs/>
        </w:rPr>
        <w:t xml:space="preserve">Description</w:t>
      </w:r>
    </w:p>
    <w:p>
      <w:pPr/>
      <w:r>
        <w:rPr/>
        <w:t xml:space="preserve">Performances acoustiques</w:t>
      </w:r>
    </w:p>
    <w:p>
      <w:pPr/>
      <w:r>
        <w:rPr>
          <w:b/>
          <w:bCs/>
        </w:rPr>
        <w:t xml:space="preserve">Justification</w:t>
      </w:r>
    </w:p>
    <w:p>
      <w:pPr/>
      <w:r>
        <w:rPr/>
        <w:t xml:space="preserve">Fournir les PV acoustiques si des performances sont revendiquées.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E4C8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DE7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3E5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3C4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CEF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2026-06-26T02:29:08+02:00</dcterms:created>
  <dcterms:modified xsi:type="dcterms:W3CDTF">2026-06-26T02:29:08+02:00</dcterms:modified>
</cp:coreProperties>
</file>

<file path=docProps/custom.xml><?xml version="1.0" encoding="utf-8"?>
<Properties xmlns="http://schemas.openxmlformats.org/officeDocument/2006/custom-properties" xmlns:vt="http://schemas.openxmlformats.org/officeDocument/2006/docPropsVTypes"/>
</file>