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Elément de remplissage de véranda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les cahiers du CSTB 2102, 3075, 3076 et dans le guide EOTA n°016.Préciser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Colle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caractéristiques et le grammage des colles déposées sur les panneaux.</w:t>
      </w:r>
    </w:p>
    <w:p>
      <w:pPr>
        <w:ind w:left="1440" w:right="0"/>
      </w:pPr>
      <w:r>
        <w:rPr>
          <w:rStyle w:val="font_h3"/>
        </w:rPr>
        <w:t xml:space="preserve">2.1.2.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et fournir la masse volumique des âmes isolantes.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certificat ACERMI des âmes isolantes.</w:t>
      </w:r>
    </w:p>
    <w:p>
      <w:pPr>
        <w:ind w:left="1440" w:right="0"/>
      </w:pPr>
      <w:r>
        <w:rPr>
          <w:rStyle w:val="font_h3"/>
        </w:rPr>
        <w:t xml:space="preserve">2.1.3. Isolant biosourcé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Vent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Etablir les tableaux de charge au vent des panneaux.</w:t>
      </w:r>
    </w:p>
    <w:p>
      <w:pPr>
        <w:ind w:left="1440" w:right="0"/>
      </w:pPr>
      <w:r>
        <w:rPr>
          <w:rStyle w:val="font_h3"/>
        </w:rPr>
        <w:t xml:space="preserve">2.2.2. Feu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Sécurité en cas d'incendie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feu de moins de 5 ans pour les matériaux composants les EdR.</w:t>
      </w:r>
    </w:p>
    <w:p>
      <w:pPr/>
      <w:r>
        <w:rPr/>
        <w:t xml:space="preserve">Fournir l’Avis de laboratoire sur l’estimation du risque apporté sur les personnes par les toitures de vérandas de type EdR, en situation d’incendie.</w:t>
      </w:r>
    </w:p>
    <w:p>
      <w:pPr>
        <w:ind w:left="1440" w:right="0"/>
      </w:pPr>
      <w:r>
        <w:rPr>
          <w:rStyle w:val="font_h3"/>
        </w:rPr>
        <w:t xml:space="preserve">2.2.3. 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Mécanique et durabilité du panneau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Vérifier la tenue des colles par des essais de traction à l’état neuf et après vieillissement.</w:t>
      </w:r>
    </w:p>
    <w:p>
      <w:pPr/>
      <w:r>
        <w:rPr/>
        <w:t xml:space="preserve">Justifier la perméabilité du panneau à l’eau suivant l’Annexe C2 de l’ETAG 16</w:t>
      </w:r>
    </w:p>
    <w:p>
      <w:pPr/>
      <w:r>
        <w:rPr/>
        <w:t xml:space="preserve">Justifier la résistance mécanique en flexion (pression, dépression) et vis-à-vis des chocs thermiques suivant les Annexes C1 et C9 de l’ETAG 16</w:t>
      </w:r>
    </w:p>
    <w:p>
      <w:pPr/>
      <w:r>
        <w:rPr/>
        <w:t xml:space="preserve">Justifier la résistance des fixations</w:t>
      </w:r>
    </w:p>
    <w:p>
      <w:pPr/>
      <w:r>
        <w:rPr/>
        <w:t xml:space="preserve">Fournir les essais de fluage suivant l’Annexe C6 de l’ETAG 16</w:t>
      </w:r>
    </w:p>
    <w:p>
      <w:pPr/>
      <w:r>
        <w:rPr/>
        <w:t xml:space="preserve">Fournir les essais de cycle climatique suivant l’Annexe C7 de l’ETAG 16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Justifications vis-à-vis du choc.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Justifier la résistance au choc de corps dur et de corps mou suivant les Annexes C10 et C4 de l’ETAG 16</w:t>
      </w:r>
    </w:p>
    <w:p>
      <w:pPr/>
      <w:r>
        <w:rPr/>
        <w:t xml:space="preserve">Fournir le PV de sécurité à la marche (1200J)</w:t>
      </w:r>
    </w:p>
    <w:p>
      <w:pPr>
        <w:ind w:left="1440" w:right="0"/>
      </w:pPr>
      <w:r>
        <w:rPr>
          <w:rStyle w:val="font_h3"/>
        </w:rPr>
        <w:t xml:space="preserve">2.2.5. Acoustique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acoustiques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PV acoustiques si des performances sont revendiquées.</w:t>
      </w:r>
    </w:p>
    <w:p>
      <w:pPr>
        <w:ind w:left="1440" w:right="0"/>
      </w:pPr>
      <w:r>
        <w:rPr>
          <w:rStyle w:val="font_h3"/>
        </w:rPr>
        <w:t xml:space="preserve">2.2.6.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panneaux auto portant 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2026-03-03T06:11:30+01:00</dcterms:created>
  <dcterms:modified xsi:type="dcterms:W3CDTF">2026-03-03T06:11:30+01:00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