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Style w:val="font_default"/>
        </w:rPr>
        <w:t xml:space="preserve">Document entériné par le Groupe Spécialisé n° 2.1 - Édité le 26/06/2026</w:t>
      </w:r>
    </w:p>
    <w:p>
      <w:pPr>
        <w:pStyle w:val="paragraph_centered"/>
      </w:pPr>
      <w:r>
        <w:rPr>
          <w:rStyle w:val="font_h1"/>
        </w:rPr>
        <w:t xml:space="preserve">Liste minimale des éléments habituellement demandés par le Groupe Spécialisé</w:t>
      </w:r>
    </w:p>
    <w:p>
      <w:pPr/>
      <w:r>
        <w:rPr>
          <w:rStyle w:val="font_h2"/>
        </w:rPr>
        <w:t xml:space="preserve">Groupe Spécialisé n° 2.1 « Produits et procédés de façade légère  »</w:t>
      </w:r>
    </w:p>
    <w:p>
      <w:pPr/>
      <w:r>
        <w:rPr>
          <w:rStyle w:val="font_default"/>
        </w:rPr>
        <w:t xml:space="preserve">Famille de produits ou procédés : </w:t>
      </w:r>
      <w:r>
        <w:rPr>
          <w:rStyle w:val="font_h3"/>
        </w:rPr>
        <w:t xml:space="preserve">Façade légère en Vitrage Extérieur Collé (VEC)</w:t>
      </w:r>
    </w:p>
    <w:p>
      <w:pPr/>
      <w:r>
        <w:rPr>
          <w:rStyle w:val="font_h1"/>
        </w:rPr>
        <w:t xml:space="preserve">1. Principe et domaine d'emploi</w:t>
      </w:r>
    </w:p>
    <w:p>
      <w:pPr/>
      <w:r>
        <w:rPr/>
        <w:t xml:space="preserve">Validé par le Groupe Spécialisé le 06/03/2018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Définition des règles de conception, de fabrication et de mise en œuvre suivant NF DTU 33.1, cahier du CSTB 3488-V2.Préciser et justifier le domaine d'emploi du procédé en zone sismique.</w:t>
      </w:r>
    </w:p>
    <w:p>
      <w:pPr/>
      <w:r>
        <w:rPr>
          <w:rStyle w:val="font_h1"/>
        </w:rPr>
        <w:t xml:space="preserve">2. Description du procédé</w:t>
      </w:r>
    </w:p>
    <w:p>
      <w:pPr>
        <w:ind w:left="720" w:right="0"/>
      </w:pPr>
      <w:r>
        <w:rPr>
          <w:rStyle w:val="font_h2"/>
        </w:rPr>
        <w:t xml:space="preserve">2.1. Caractéristiques d'identification du procédé</w:t>
      </w:r>
    </w:p>
    <w:p>
      <w:pPr>
        <w:ind w:left="1440" w:right="0"/>
      </w:pPr>
      <w:r>
        <w:rPr>
          <w:rStyle w:val="font_h3"/>
        </w:rPr>
        <w:t xml:space="preserve">2.1.1. Noeud de collage</w:t>
      </w:r>
    </w:p>
    <w:p>
      <w:pPr/>
      <w:r>
        <w:rPr/>
        <w:t xml:space="preserve">Validé par le Groupe Spécialisé le 06/03/2018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Fournir si elle existe l'Evaluation Technique Européenne du nœud de collage.</w:t>
      </w:r>
    </w:p>
    <w:p>
      <w:pPr>
        <w:ind w:left="1440" w:right="0"/>
      </w:pPr>
      <w:r>
        <w:rPr>
          <w:rStyle w:val="font_h3"/>
        </w:rPr>
        <w:t xml:space="preserve">2.1.2. Mastic de collage</w:t>
      </w:r>
    </w:p>
    <w:p>
      <w:pPr/>
      <w:r>
        <w:rPr/>
        <w:t xml:space="preserve">Validé par le Groupe Spécialisé le 06/03/2018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Fournir le label SNJF-VEC et/ou l'ETE du mastic de collage</w:t>
      </w:r>
    </w:p>
    <w:p>
      <w:pPr>
        <w:ind w:left="1440" w:right="0"/>
      </w:pPr>
      <w:r>
        <w:rPr>
          <w:rStyle w:val="font_h3"/>
        </w:rPr>
        <w:t xml:space="preserve">2.1.3. Assemblage montant/traverse</w:t>
      </w:r>
    </w:p>
    <w:p>
      <w:pPr/>
      <w:r>
        <w:rPr/>
        <w:t xml:space="preserve">Validé par le Groupe Spécialisé le 29/04/2025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Les systèmes de Façade légère en Vitrage Extérieur Collé (VEC) devront justifier des capacitésmaximales des assemblages montant/traverse, conformément au § 5 de la fiche du SNF n°49 indice C.</w:t>
      </w:r>
    </w:p>
    <w:p>
      <w:pPr>
        <w:ind w:left="720" w:right="0"/>
      </w:pPr>
      <w:r>
        <w:rPr>
          <w:rStyle w:val="font_h2"/>
        </w:rPr>
        <w:t xml:space="preserve">2.2. Caractéristiques d'aptitude à l'emploi</w:t>
      </w:r>
    </w:p>
    <w:p>
      <w:pPr>
        <w:ind w:left="1440" w:right="0"/>
      </w:pPr>
      <w:r>
        <w:rPr>
          <w:rStyle w:val="font_h3"/>
        </w:rPr>
        <w:t xml:space="preserve">2.2.1. Façade</w:t>
      </w:r>
    </w:p>
    <w:p>
      <w:pPr/>
      <w:r>
        <w:rPr/>
        <w:t xml:space="preserve">Validé par le Groupe Spécialisé le 06/03/2018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Fournir les performances AEV.</w:t>
      </w:r>
    </w:p>
    <w:p>
      <w:pPr/>
      <w:r>
        <w:rPr/>
        <w:t xml:space="preserve">Pour les remplissages participant à la sécurité aux chutes des personnes, fournir la vérification expérimentale. </w:t>
      </w:r>
    </w:p>
    <w:p>
      <w:pPr/>
      <w:r>
        <w:rPr/>
        <w:t xml:space="preserve">Fournir l'étude thermique suivant la règlementation en vigueur.</w:t>
      </w:r>
    </w:p>
    <w:p>
      <w:pPr/>
      <w:r>
        <w:rPr>
          <w:b/>
          <w:bCs/>
        </w:rPr>
        <w:t xml:space="preserve">Justification</w:t>
      </w:r>
    </w:p>
    <w:p>
      <w:pPr/>
      <w:r>
        <w:rPr/>
        <w:t xml:space="preserve">AEV suivant la norme NF EN 13830.Chocs suivant la P 08-302 et le cahier du CSTB 3488-V2.L'étude thermique devra être validée par le CSTB.</w:t>
      </w:r>
    </w:p>
    <w:p>
      <w:pPr>
        <w:ind w:left="1440" w:right="0"/>
      </w:pPr>
      <w:r>
        <w:rPr>
          <w:rStyle w:val="font_h3"/>
        </w:rPr>
        <w:t xml:space="preserve">2.2.2. Collage VEC</w:t>
      </w:r>
    </w:p>
    <w:p>
      <w:pPr/>
      <w:r>
        <w:rPr/>
        <w:t xml:space="preserve">Validé par le Groupe Spécialisé le 06/03/2018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Fournir les essais de convenance du mastic sur les profilés de collage. </w:t>
      </w:r>
    </w:p>
    <w:p>
      <w:pPr/>
      <w:r>
        <w:rPr/>
        <w:t xml:space="preserve">Fournir la note de calcul de la section de collage conformément au cahier du CSTB 3488-V2.</w:t>
      </w:r>
    </w:p>
    <w:p>
      <w:pPr>
        <w:ind w:left="1440" w:right="0"/>
      </w:pPr>
      <w:r>
        <w:rPr>
          <w:rStyle w:val="font_h3"/>
        </w:rPr>
        <w:t xml:space="preserve">2.2.3. Pattes de retenue mécanique</w:t>
      </w:r>
    </w:p>
    <w:p>
      <w:pPr/>
      <w:r>
        <w:rPr/>
        <w:t xml:space="preserve">Validé par le Groupe Spécialisé le 06/03/2018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Description et vérification du dimensionnement des pattes de retenue mécanique: soit par essai, en vérifiant qu'une application de 20% du vent à l'ELS en dépression réparti sur le nombre de pattes avec un minimum de 15 kg par patte, ne provoque pas l'échappement du vitrage, soit par calcul, en vérifiant qu'à 20% du vent ELS en dépression réparti sur le nombre de pattes, la limite élastique des pattes de retenue et des fixations n'est pas dépassée, soit par l'essai de choc M50/400 J défini au paragraphe 2.3.2.2 du cahier du CSTB 3488-V2.</w:t>
      </w:r>
    </w:p>
    <w:p>
      <w:pPr/>
      <w:r>
        <w:rPr>
          <w:rStyle w:val="font_h1"/>
        </w:rPr>
        <w:t xml:space="preserve">3. Fabrication</w:t>
      </w:r>
    </w:p>
    <w:p>
      <w:pPr/>
      <w:r>
        <w:rPr/>
        <w:t xml:space="preserve">Validé par le Groupe Spécialisé le 06/03/2018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Fournir le PASS VEC de l'atelier de collage.</w:t>
      </w:r>
    </w:p>
    <w:sectPr>
      <w:headerReference w:type="default" r:id="rId7"/>
      <w:footerReference w:type="default" r:id="rId8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_footer"/>
    </w:pPr>
    <w:r>
      <w:rPr>
        <w:rStyle w:val="font_footer"/>
      </w:rPr>
      <w:t xml:space="preserve">Secrétariat : 84 avenue Jean-Jaurès – Champs-sur-Marne – F-77447 Marne-la-Vallée Cedex 2</w:t>
    </w:r>
    <w:br/>
    <w:r>
      <w:rPr>
        <w:rStyle w:val="font_footer"/>
      </w:rPr>
      <w:t xml:space="preserve">Tel : (33)01.64.68.85.60 - Fax : (33)01.64.68.85.65</w:t>
    </w:r>
    <w:br/>
    <w:r>
      <w:rPr>
        <w:rStyle w:val="font_footer"/>
      </w:rPr>
      <w:t xml:space="preserve">Serveur Internet : http://www.cstb.fr - E-mail : secretariat.at@cstb.fr</w:t>
    </w:r>
    <w:br/>
  </w:p>
  <w:p>
    <w:pPr>
      <w:pStyle w:val="paragraph_footer"/>
    </w:pPr>
    <w:r>
      <w:rPr>
        <w:rStyle w:val="font_footer"/>
      </w:rPr>
      <w:t xml:space="preserve">Page </w:t>
    </w:r>
    <w:r>
      <w:fldChar w:fldCharType="begin"/>
    </w:r>
    <w:r>
      <w:rPr>
        <w:rStyle w:val="font_footer"/>
      </w:rPr>
      <w:instrText xml:space="preserve">PAGE</w:instrText>
    </w:r>
    <w:r>
      <w:fldChar w:fldCharType="separate"/>
    </w:r>
    <w:r>
      <w:fldChar w:fldCharType="end"/>
    </w:r>
    <w:r>
      <w:rPr>
        <w:rStyle w:val="font_footer"/>
      </w:rPr>
      <w:t xml:space="preserve"> sur </w:t>
    </w:r>
    <w:r>
      <w:fldChar w:fldCharType="begin"/>
    </w:r>
    <w:r>
      <w:rPr>
        <w:rStyle w:val="font_footer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</w:p>
  <w:p>
    <w:pPr/>
    <w:r>
      <w:pict>
        <v:shape type="#_x0000_t75" style="width:170pt; height:60pt; margin-left:0pt; margin-top:0pt; mso-position-horizontal:left; mso-position-vertical:top; mso-position-horizontal-relative:char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font_default">
    <w:name w:val="font_default"/>
    <w:basedOn w:val="Normal"/>
    <w:pPr>
      <w:spacing w:line="240" w:lineRule="auto"/>
    </w:pPr>
    <w:rPr>
      <w:rFonts w:ascii="Calibri" w:hAnsi="Calibri" w:eastAsia="Calibri" w:cs="Calibri"/>
      <w:color w:val="000000"/>
      <w:sz w:val="22"/>
      <w:szCs w:val="22"/>
    </w:rPr>
  </w:style>
  <w:style w:type="character">
    <w:name w:val="font_h1"/>
    <w:rPr>
      <w:rFonts w:ascii="Calibri" w:hAnsi="Calibri" w:eastAsia="Calibri" w:cs="Calibri"/>
      <w:color w:val="000000"/>
      <w:sz w:val="28"/>
      <w:szCs w:val="28"/>
      <w:b/>
      <w:bCs/>
    </w:rPr>
  </w:style>
  <w:style w:type="character">
    <w:name w:val="font_h2"/>
    <w:rPr>
      <w:rFonts w:ascii="Calibri" w:hAnsi="Calibri" w:eastAsia="Calibri" w:cs="Calibri"/>
      <w:color w:val="000000"/>
      <w:sz w:val="24"/>
      <w:szCs w:val="24"/>
      <w:b/>
      <w:bCs/>
    </w:rPr>
  </w:style>
  <w:style w:type="character">
    <w:name w:val="font_h3"/>
    <w:rPr>
      <w:rFonts w:ascii="Calibri" w:hAnsi="Calibri" w:eastAsia="Calibri" w:cs="Calibri"/>
      <w:color w:val="000000"/>
      <w:sz w:val="22"/>
      <w:szCs w:val="22"/>
      <w:b/>
      <w:bCs/>
    </w:rPr>
  </w:style>
  <w:style w:type="character">
    <w:name w:val="font_footer"/>
    <w:rPr>
      <w:rFonts w:ascii="Calibri" w:hAnsi="Calibri" w:eastAsia="Calibri" w:cs="Calibri"/>
      <w:color w:val="000000"/>
      <w:sz w:val="20"/>
      <w:szCs w:val="20"/>
    </w:rPr>
  </w:style>
  <w:style w:type="paragraph" w:customStyle="1" w:styleId="paragraph_centered">
    <w:name w:val="paragraph_centered"/>
    <w:basedOn w:val="Normal"/>
    <w:pPr>
      <w:jc w:val="center"/>
    </w:pPr>
  </w:style>
  <w:style w:type="paragraph" w:customStyle="1" w:styleId="paragraph_footer">
    <w:name w:val="paragraph_footer"/>
    <w:basedOn w:val="Normal"/>
    <w:pPr>
      <w:jc w:val="center"/>
      <w:spacing w:after="0" w:line="240" w:lineRule="auto"/>
    </w:pPr>
  </w:style>
  <w:style w:type="table" w:customStyle="1" w:styleId="table">
    <w:name w:val="table"/>
    <w:uiPriority w:val="99"/>
    <w:tblPr>
      <w:tblW w:w="0" w:type="auto"/>
      <w:tblLayout w:type="autofit"/>
      <w:tblCellMar>
        <w:top w:w="50" w:type="dxa"/>
        <w:left w:w="50" w:type="dxa"/>
        <w:right w:w="50" w:type="dxa"/>
        <w:bottom w:w="50" w:type="dxa"/>
      </w:tblCellMar>
      <w:tblBorders>
        <w:top w:val="single" w:sz="6" w:color="444444"/>
        <w:left w:val="single" w:sz="6" w:color="444444"/>
        <w:right w:val="single" w:sz="6" w:color="444444"/>
        <w:bottom w:val="single" w:sz="6" w:color="444444"/>
        <w:insideH w:val="single" w:sz="6" w:color="444444"/>
        <w:insideV w:val="single" w:sz="6" w:color="444444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2026-06-26T01:48:11+02:00</dcterms:created>
  <dcterms:modified xsi:type="dcterms:W3CDTF">2026-06-26T01:48:11+02:00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