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2.1 - Édité le 25/04/2024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2.1 « Produits et procédés de façade légère 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Façade légère en Vitrage Extérieur Collé (VEC)</w:t>
      </w:r>
    </w:p>
    <w:p>
      <w:pPr/>
      <w:r>
        <w:rPr>
          <w:rStyle w:val="font_h1"/>
        </w:rPr>
        <w:t xml:space="preserve">1. Principe et domaine d'emploi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Définition des règles de conception, de fabrication et de mise en œuvre suivant NF DTU 33.1, cahier du CSTB 3488-V2.Préciser et justifier le domaine d'emploi du procédé en zone sismique.</w:t>
      </w:r>
    </w:p>
    <w:p>
      <w:pPr/>
      <w:r>
        <w:rPr>
          <w:rStyle w:val="font_h1"/>
        </w:rPr>
        <w:t xml:space="preserve">2. Description du procédé</w:t>
      </w:r>
    </w:p>
    <w:p>
      <w:pPr>
        <w:ind w:left="720" w:right="0"/>
      </w:pPr>
      <w:r>
        <w:rPr>
          <w:rStyle w:val="font_h2"/>
        </w:rPr>
        <w:t xml:space="preserve">2.1. Caractéristiques d'identification du procédé</w:t>
      </w:r>
    </w:p>
    <w:p>
      <w:pPr>
        <w:ind w:left="1440" w:right="0"/>
      </w:pPr>
      <w:r>
        <w:rPr>
          <w:rStyle w:val="font_h3"/>
        </w:rPr>
        <w:t xml:space="preserve">2.1.1. Noeud de collage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si elle existe l'Evaluation Technique Européenne du nœud de collage.</w:t>
      </w:r>
    </w:p>
    <w:p>
      <w:pPr>
        <w:ind w:left="1440" w:right="0"/>
      </w:pPr>
      <w:r>
        <w:rPr>
          <w:rStyle w:val="font_h3"/>
        </w:rPr>
        <w:t xml:space="preserve">2.1.2. Mastic de collage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le label SNJF-VEC et/ou l'ETE du mastic de collage</w:t>
      </w:r>
    </w:p>
    <w:p>
      <w:pPr>
        <w:ind w:left="720" w:right="0"/>
      </w:pPr>
      <w:r>
        <w:rPr>
          <w:rStyle w:val="font_h2"/>
        </w:rPr>
        <w:t xml:space="preserve">2.2. Caractéristiques d'aptitude à l'emploi</w:t>
      </w:r>
    </w:p>
    <w:p>
      <w:pPr>
        <w:ind w:left="1440" w:right="0"/>
      </w:pPr>
      <w:r>
        <w:rPr>
          <w:rStyle w:val="font_h3"/>
        </w:rPr>
        <w:t xml:space="preserve">2.2.1. Façade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les performances AEV.</w:t>
      </w:r>
    </w:p>
    <w:p>
      <w:pPr/>
      <w:r>
        <w:rPr/>
        <w:t xml:space="preserve">Pour les remplissages participant à la sécurité aux chutes des personnes, fournir la vérification expérimentale. </w:t>
      </w:r>
    </w:p>
    <w:p>
      <w:pPr/>
      <w:r>
        <w:rPr/>
        <w:t xml:space="preserve">Fournir l'étude thermique suivant la règlementation en vigueur.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AEV suivant la norme NF EN 13830.Chocs suivant la P 08-302 et le cahier du CSTB 3488-V2.L'étude thermique devra être validée par le CSTB.</w:t>
      </w:r>
    </w:p>
    <w:p>
      <w:pPr>
        <w:ind w:left="1440" w:right="0"/>
      </w:pPr>
      <w:r>
        <w:rPr>
          <w:rStyle w:val="font_h3"/>
        </w:rPr>
        <w:t xml:space="preserve">2.2.2. Collage VEC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les essais de convenance du mastic sur les profilés de collage. </w:t>
      </w:r>
    </w:p>
    <w:p>
      <w:pPr/>
      <w:r>
        <w:rPr/>
        <w:t xml:space="preserve">Fournir la note de calcul de la section de collage conformément au cahier du CSTB 3488-V2.</w:t>
      </w:r>
    </w:p>
    <w:p>
      <w:pPr>
        <w:ind w:left="1440" w:right="0"/>
      </w:pPr>
      <w:r>
        <w:rPr>
          <w:rStyle w:val="font_h3"/>
        </w:rPr>
        <w:t xml:space="preserve">2.2.3. Pattes de retenue mécanique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et vérification du dimensionnement des pattes de retenue mécanique: soit par essai, en vérifiant qu'une application de 20% du vent à l'ELS en dépression réparti sur le nombre de pattes avec un minimum de 15 kg par patte, ne provoque pas l'échappement du vitrage, soit par calcul, en vérifiant qu'à 20% du vent ELS en dépression réparti sur le nombre de pattes, la limite élastique des pattes de retenue et des fixations n'est pas dépassée, soit par l'essai de choc M50/400 J défini au paragraphe 2.3.2.2 du cahier du CSTB 3488-V2.</w:t>
      </w:r>
    </w:p>
    <w:p>
      <w:pPr/>
      <w:r>
        <w:rPr>
          <w:rStyle w:val="font_h1"/>
        </w:rPr>
        <w:t xml:space="preserve">3. Fabrication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le PASS VEC de l'atelier de collage.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2024-04-25T03:30:25+02:00</dcterms:created>
  <dcterms:modified xsi:type="dcterms:W3CDTF">2024-04-25T03:30:25+02:00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