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2.1 - Édité le 31/08/2026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2.1 « Produits et procédés de façade légère 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Façade légère respirante</w:t>
      </w:r>
    </w:p>
    <w:p>
      <w:pPr/>
      <w:r>
        <w:rPr>
          <w:rStyle w:val="font_h1"/>
        </w:rPr>
        <w:t xml:space="preserve">1. Principe et domaine d'emploi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règles de conception, de fabrication et de mise en œuvre sont précisées dans le NF DTU 33.1, dans les cahiers CSTB 3677-V2 et 3759.Préciser et justifier le domaine d’emploi du système en zone sismique.</w:t>
      </w:r>
    </w:p>
    <w:p>
      <w:pPr/>
      <w:r>
        <w:rPr>
          <w:rStyle w:val="font_h1"/>
        </w:rPr>
        <w:t xml:space="preserve">2. Description du procédé</w:t>
      </w:r>
    </w:p>
    <w:p>
      <w:pPr>
        <w:ind w:left="720" w:right="0"/>
      </w:pPr>
      <w:r>
        <w:rPr>
          <w:rStyle w:val="font_h2"/>
        </w:rPr>
        <w:t xml:space="preserve">2.1. Caractéristiques d'identification du procédé</w:t>
      </w:r>
    </w:p>
    <w:p>
      <w:pPr>
        <w:ind w:left="1440" w:right="0"/>
      </w:pPr>
      <w:r>
        <w:rPr>
          <w:rStyle w:val="font_h3"/>
        </w:rPr>
        <w:t xml:space="preserve">2.1.1. Filtre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orifices de respiration (filtres…)</w:t>
      </w:r>
    </w:p>
    <w:p>
      <w:pPr>
        <w:ind w:left="1440" w:right="0"/>
      </w:pPr>
      <w:r>
        <w:rPr>
          <w:rStyle w:val="font_h3"/>
        </w:rPr>
        <w:t xml:space="preserve">2.1.2. Etanchéité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la conception des profilés d’étanchéité intérieure</w:t>
      </w:r>
    </w:p>
    <w:p>
      <w:pPr>
        <w:ind w:left="720" w:right="0"/>
      </w:pPr>
      <w:r>
        <w:rPr>
          <w:rStyle w:val="font_h2"/>
        </w:rPr>
        <w:t xml:space="preserve">2.2. Caractéristiques d'aptitude à l'emploi</w:t>
      </w:r>
    </w:p>
    <w:p>
      <w:pPr>
        <w:ind w:left="1440" w:right="0"/>
      </w:pPr>
      <w:r>
        <w:rPr>
          <w:rStyle w:val="font_h3"/>
        </w:rPr>
        <w:t xml:space="preserve">2.2.1. Conception du respirant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Non embuage du système.Préciser les dispositions d’intervention pour la maintenance et la réparation (changement d’un vitrage, entretien des filtres de respiration….)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vérification expérimentale du non embuage des éléments respirants sous chute brutale de température, avec la surpression intérieure des locaux (protocole suivant l’annexe B du cahier 3759).</w:t>
      </w:r>
    </w:p>
    <w:p>
      <w:pPr>
        <w:ind w:left="1440" w:right="0"/>
      </w:pPr>
      <w:r>
        <w:rPr>
          <w:rStyle w:val="font_h3"/>
        </w:rPr>
        <w:t xml:space="preserve">2.2.2. Store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Durabilité du store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rapport d’essai d’endurance du store suivant le cahier du CSTB N° 3677-V2 de 8000 cycles à température ambiante, 2000 cycles à 75°C et en option 500 cycles à 85°C. Cet essai sera réalisé avec un store aux dimensions maximales</w:t>
      </w:r>
    </w:p>
    <w:p>
      <w:pPr>
        <w:ind w:left="1440" w:right="0"/>
      </w:pPr>
      <w:r>
        <w:rPr>
          <w:rStyle w:val="font_h3"/>
        </w:rPr>
        <w:t xml:space="preserve">2.2.3. Performances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Performances AEV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justification des performances AEV conformément à la norme NF EN 13830</w:t>
      </w:r>
    </w:p>
    <w:p>
      <w:pPr>
        <w:ind w:left="1440" w:right="0"/>
      </w:pPr>
      <w:r>
        <w:rPr>
          <w:rStyle w:val="font_h3"/>
        </w:rPr>
        <w:t xml:space="preserve">2.2.4. Thermique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l’étude thermique suivant la réglementation en vigueur.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Une validation par le CSTB sera demandée lors de l’évaluation.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Opération de fabrication et d'assemblage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Prévoir un audit des opérations de fabrication et d'assemblage conformément au cahier du CSTB selon les différents cas du paragraphe 3.3 du cahier du CSTB 3759.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2026-08-31T07:14:31+02:00</dcterms:created>
  <dcterms:modified xsi:type="dcterms:W3CDTF">2026-08-31T07:14:31+02:00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