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font_default"/>
        </w:rPr>
        <w:t xml:space="preserve">Document entériné par le Groupe Spécialisé n° 2.1 - Édité le 08/10/2026</w:t>
      </w:r>
    </w:p>
    <w:p>
      <w:pPr>
        <w:pStyle w:val="paragraph_centered"/>
      </w:pPr>
      <w:r>
        <w:rPr>
          <w:rStyle w:val="font_h1"/>
        </w:rPr>
        <w:t xml:space="preserve">Liste minimale des éléments habituellement demandés par le Groupe Spécialisé</w:t>
      </w:r>
    </w:p>
    <w:p>
      <w:pPr/>
      <w:r>
        <w:rPr>
          <w:rStyle w:val="font_h2"/>
        </w:rPr>
        <w:t xml:space="preserve">Groupe Spécialisé n° 2.1 « Produits et procédés de façade légère  »</w:t>
      </w:r>
    </w:p>
    <w:p>
      <w:pPr/>
      <w:r>
        <w:rPr>
          <w:rStyle w:val="font_default"/>
        </w:rPr>
        <w:t xml:space="preserve">Famille de produits ou procédés : </w:t>
      </w:r>
      <w:r>
        <w:rPr>
          <w:rStyle w:val="font_h3"/>
        </w:rPr>
        <w:t xml:space="preserve">Verrière en verre</w:t>
      </w:r>
    </w:p>
    <w:p>
      <w:pPr/>
      <w:r>
        <w:rPr>
          <w:rStyle w:val="font_h1"/>
        </w:rPr>
        <w:t xml:space="preserve">1. Principe</w:t>
      </w:r>
    </w:p>
    <w:p>
      <w:pPr/>
      <w:r>
        <w:rPr/>
        <w:t xml:space="preserve">Validé par le Groupe Spécialisé le 06/03/2018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Pour les verrières VEC, les règles de conception, de fabrication et de mise en œuvre sont précisées dans le cahier du CSTB 3488-V2.Préciser et justifier le domaine d'emploi du système en zone sismique.</w:t>
      </w:r>
    </w:p>
    <w:p>
      <w:pPr/>
      <w:r>
        <w:rPr>
          <w:rStyle w:val="font_h1"/>
        </w:rPr>
        <w:t xml:space="preserve">2. Description du procédé</w:t>
      </w:r>
    </w:p>
    <w:p>
      <w:pPr>
        <w:ind w:left="720" w:right="0"/>
      </w:pPr>
      <w:r>
        <w:rPr>
          <w:rStyle w:val="font_h2"/>
        </w:rPr>
        <w:t xml:space="preserve">2.1. Caractéristiques d'identification du procédé</w:t>
      </w:r>
    </w:p>
    <w:p>
      <w:pPr/>
      <w:r>
        <w:rPr/>
        <w:t xml:space="preserve">Validé par le Groupe Spécialisé le 06/03/2018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Fournir la description du système et des différents constituants, ainsi qu'un dossier graphique.</w:t>
      </w:r>
    </w:p>
    <w:p>
      <w:pPr>
        <w:ind w:left="720" w:right="0"/>
      </w:pPr>
      <w:r>
        <w:rPr>
          <w:rStyle w:val="font_h2"/>
        </w:rPr>
        <w:t xml:space="preserve">2.2. Caractéristiques d'aptitude à l'emploi</w:t>
      </w:r>
    </w:p>
    <w:p>
      <w:pPr>
        <w:ind w:left="1440" w:right="0"/>
      </w:pPr>
      <w:r>
        <w:rPr>
          <w:rStyle w:val="font_h3"/>
        </w:rPr>
        <w:t xml:space="preserve">2.2.1. Performances</w:t>
      </w:r>
    </w:p>
    <w:p>
      <w:pPr/>
      <w:r>
        <w:rPr/>
        <w:t xml:space="preserve">Validé par le Groupe Spécialisé le 06/02/2018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Performances AEV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Fournir la justification des performances AEV conformément à la norme NF EN 13830, en appliquant un débit d'eau minimum de 3L/(m².min).L'essai sera réalisé suivant l'inclinaison minimale visée par le demandeur.</w:t>
      </w:r>
    </w:p>
    <w:p>
      <w:pPr>
        <w:ind w:left="1440" w:right="0"/>
      </w:pPr>
      <w:r>
        <w:rPr>
          <w:rStyle w:val="font_h3"/>
        </w:rPr>
        <w:t xml:space="preserve">2.2.2. Choc</w:t>
      </w:r>
    </w:p>
    <w:p>
      <w:pPr/>
      <w:r>
        <w:rPr/>
        <w:t xml:space="preserve">Validé par le Groupe Spécialisé le 06/03/2018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Essais de choc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Conformément au cahier du CSTB 3228</w:t>
      </w:r>
    </w:p>
    <w:p>
      <w:pPr>
        <w:ind w:left="1440" w:right="0"/>
      </w:pPr>
      <w:r>
        <w:rPr>
          <w:rStyle w:val="font_h3"/>
        </w:rPr>
        <w:t xml:space="preserve">2.2.3. Thermique</w:t>
      </w:r>
    </w:p>
    <w:p>
      <w:pPr/>
      <w:r>
        <w:rPr/>
        <w:t xml:space="preserve">Validé par le Groupe Spécialisé le 06/03/2018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Fournir l'étude thermique suivant la règlementation en vigueur.</w:t>
      </w:r>
    </w:p>
    <w:p>
      <w:pPr/>
      <w:r>
        <w:rPr>
          <w:b/>
          <w:bCs/>
        </w:rPr>
        <w:t xml:space="preserve">Critères d'évaluation</w:t>
      </w:r>
    </w:p>
    <w:p>
      <w:pPr/>
      <w:r>
        <w:rPr/>
        <w:t xml:space="preserve">Une validation par le CSTB sera demandée lors de l'évaluation.</w:t>
      </w:r>
    </w:p>
    <w:sectPr>
      <w:headerReference w:type="default" r:id="rId7"/>
      <w:footerReference w:type="default" r:id="rId8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_footer"/>
    </w:pPr>
    <w:r>
      <w:rPr>
        <w:rStyle w:val="font_footer"/>
      </w:rPr>
      <w:t xml:space="preserve">Secrétariat : 84 avenue Jean-Jaurès – Champs-sur-Marne – F-77447 Marne-la-Vallée Cedex 2</w:t>
    </w:r>
    <w:br/>
    <w:r>
      <w:rPr>
        <w:rStyle w:val="font_footer"/>
      </w:rPr>
      <w:t xml:space="preserve">Tel : (33)01.64.68.85.60 - Fax : (33)01.64.68.85.65</w:t>
    </w:r>
    <w:br/>
    <w:r>
      <w:rPr>
        <w:rStyle w:val="font_footer"/>
      </w:rPr>
      <w:t xml:space="preserve">Serveur Internet : http://www.cstb.fr - E-mail : secretariat.at@cstb.fr</w:t>
    </w:r>
    <w:br/>
  </w:p>
  <w:p>
    <w:pPr>
      <w:pStyle w:val="paragraph_footer"/>
    </w:pPr>
    <w:r>
      <w:rPr>
        <w:rStyle w:val="font_footer"/>
      </w:rPr>
      <w:t xml:space="preserve">Page </w:t>
    </w:r>
    <w:r>
      <w:fldChar w:fldCharType="begin"/>
    </w:r>
    <w:r>
      <w:rPr>
        <w:rStyle w:val="font_footer"/>
      </w:rPr>
      <w:instrText xml:space="preserve">PAGE</w:instrText>
    </w:r>
    <w:r>
      <w:fldChar w:fldCharType="separate"/>
    </w:r>
    <w:r>
      <w:fldChar w:fldCharType="end"/>
    </w:r>
    <w:r>
      <w:rPr>
        <w:rStyle w:val="font_footer"/>
      </w:rPr>
      <w:t xml:space="preserve"> sur </w:t>
    </w:r>
    <w:r>
      <w:fldChar w:fldCharType="begin"/>
    </w:r>
    <w:r>
      <w:rPr>
        <w:rStyle w:val="font_footer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</w:p>
  <w:p>
    <w:pPr/>
    <w:r>
      <w:pict>
        <v:shape type="#_x0000_t75" style="width:170pt; height:60pt; margin-left:0pt; margin-top:0pt; mso-position-horizontal:left; mso-position-vertical:top; mso-position-horizontal-relative:char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font_default">
    <w:name w:val="font_default"/>
    <w:basedOn w:val="Normal"/>
    <w:pPr>
      <w:spacing w:line="240" w:lineRule="auto"/>
    </w:pPr>
    <w:rPr>
      <w:rFonts w:ascii="Calibri" w:hAnsi="Calibri" w:eastAsia="Calibri" w:cs="Calibri"/>
      <w:color w:val="000000"/>
      <w:sz w:val="22"/>
      <w:szCs w:val="22"/>
    </w:rPr>
  </w:style>
  <w:style w:type="character">
    <w:name w:val="font_h1"/>
    <w:rPr>
      <w:rFonts w:ascii="Calibri" w:hAnsi="Calibri" w:eastAsia="Calibri" w:cs="Calibri"/>
      <w:color w:val="000000"/>
      <w:sz w:val="28"/>
      <w:szCs w:val="28"/>
      <w:b/>
      <w:bCs/>
    </w:rPr>
  </w:style>
  <w:style w:type="character">
    <w:name w:val="font_h2"/>
    <w:rPr>
      <w:rFonts w:ascii="Calibri" w:hAnsi="Calibri" w:eastAsia="Calibri" w:cs="Calibri"/>
      <w:color w:val="000000"/>
      <w:sz w:val="24"/>
      <w:szCs w:val="24"/>
      <w:b/>
      <w:bCs/>
    </w:rPr>
  </w:style>
  <w:style w:type="character">
    <w:name w:val="font_h3"/>
    <w:rPr>
      <w:rFonts w:ascii="Calibri" w:hAnsi="Calibri" w:eastAsia="Calibri" w:cs="Calibri"/>
      <w:color w:val="000000"/>
      <w:sz w:val="22"/>
      <w:szCs w:val="22"/>
      <w:b/>
      <w:bCs/>
    </w:rPr>
  </w:style>
  <w:style w:type="character">
    <w:name w:val="font_footer"/>
    <w:rPr>
      <w:rFonts w:ascii="Calibri" w:hAnsi="Calibri" w:eastAsia="Calibri" w:cs="Calibri"/>
      <w:color w:val="000000"/>
      <w:sz w:val="20"/>
      <w:szCs w:val="20"/>
    </w:rPr>
  </w:style>
  <w:style w:type="paragraph" w:customStyle="1" w:styleId="paragraph_centered">
    <w:name w:val="paragraph_centered"/>
    <w:basedOn w:val="Normal"/>
    <w:pPr>
      <w:jc w:val="center"/>
    </w:pPr>
  </w:style>
  <w:style w:type="paragraph" w:customStyle="1" w:styleId="paragraph_footer">
    <w:name w:val="paragraph_footer"/>
    <w:basedOn w:val="Normal"/>
    <w:pPr>
      <w:jc w:val="center"/>
      <w:spacing w:after="0" w:line="240" w:lineRule="auto"/>
    </w:pPr>
  </w:style>
  <w:style w:type="table" w:customStyle="1" w:styleId="table">
    <w:name w:val="table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  <w:tblBorders>
        <w:top w:val="single" w:sz="6" w:color="444444"/>
        <w:left w:val="single" w:sz="6" w:color="444444"/>
        <w:right w:val="single" w:sz="6" w:color="444444"/>
        <w:bottom w:val="single" w:sz="6" w:color="444444"/>
        <w:insideH w:val="single" w:sz="6" w:color="444444"/>
        <w:insideV w:val="single" w:sz="6" w:color="444444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2026-10-08T09:00:25+02:00</dcterms:created>
  <dcterms:modified xsi:type="dcterms:W3CDTF">2026-10-08T09:00:25+02:00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