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aluminium</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flèche maximale du procédé selon EAD 040914 00-0404 Annexe I</w:t>
      </w:r>
    </w:p>
    <w:p>
      <w:pPr>
        <w:pPr/>
        <w:numPr>
          <w:ilvl w:val="0"/>
          <w:numId w:val="10"/>
        </w:numPr>
      </w:pPr>
      <w:r>
        <w:rPr/>
        <w:t xml:space="preserve">la réaction au feu et PCS</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2156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738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7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FC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987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F60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192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58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472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2025-10-23T05:42:09+02:00</dcterms:created>
  <dcterms:modified xsi:type="dcterms:W3CDTF">2025-10-23T05:42:09+02:00</dcterms:modified>
</cp:coreProperties>
</file>

<file path=docProps/custom.xml><?xml version="1.0" encoding="utf-8"?>
<Properties xmlns="http://schemas.openxmlformats.org/officeDocument/2006/custom-properties" xmlns:vt="http://schemas.openxmlformats.org/officeDocument/2006/docPropsVTypes"/>
</file>