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d'étanchéité pour joint de dilatation de toitures terrasses inaccessibles ou accessibles aux piétons</w:t>
      </w:r>
    </w:p>
    <w:p>
      <w:pPr/>
      <w:r>
        <w:rPr>
          <w:rStyle w:val="font_h1"/>
        </w:rPr>
        <w:t xml:space="preserve">1. Principe et domaine d'emploi</w:t>
      </w:r>
    </w:p>
    <w:p>
      <w:pPr/>
      <w:r>
        <w:rPr/>
        <w:t xml:space="preserve">Validé par le Groupe Spécialisé le 10/10/2012</w:t>
      </w:r>
    </w:p>
    <w:p>
      <w:pPr/>
      <w:r>
        <w:rPr>
          <w:b/>
          <w:bCs/>
        </w:rPr>
        <w:t xml:space="preserve">Description</w:t>
      </w:r>
    </w:p>
    <w:p>
      <w:pPr/>
      <w:r>
        <w:rPr/>
        <w:t xml:space="preserve">Le système (NOM) est un système d’étanchéité des joints de gros œuvre, pour travaux (neufs) et (réfections) de toitures, sur éléments porteurs (en maçonnerie), (en bois ou panneaux à base de bois) en climat de (plaine) et de (montagne), ainsi que dans les (Départements et Régions d’Outre-Mer (DROM) (hors toitures accessibles aux véhicules et parcs de stationnement). Le système est de type joint à soufflet avec cordon butyle fonctionnant en déformation sans mise en tension notable. L’étanchéité du joint est obtenue par la mise en forme en lyre et par la soudure à la flamme d’une bande d'étanchéité (NOM) et par son raccordement soudé à des revêtements bitumineux de type asphalte coulé, bitume modifié et proposé dans le Document Technique d’Application du revêtement de partie courante, et notamment tous les procédés en bitume modifié. Cette bande est utilisée pour les parties linéaires, les angles et croisements, et les changements de plan. Le dispositif NOM permet d'assurer la continuité du revêtement d'étanchéité des parties courantes au-dessus des joints de dilatation ou de tassement de structure.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b/>
          <w:bCs/>
        </w:rPr>
        <w:t xml:space="preserve">Illustration</w:t>
      </w:r>
    </w:p>
    <w:p>
      <w:pPr/>
      <w:r>
        <w:rPr/>
        <w:t xml:space="preserve">Photos de chantiers en cours de mise en œuvre et chantiers terminés</w:t>
      </w:r>
    </w:p>
    <w:p>
      <w:pPr/>
      <w:r>
        <w:rPr>
          <w:rStyle w:val="font_h1"/>
        </w:rPr>
        <w:t xml:space="preserve">2. Matériaux</w:t>
      </w:r>
    </w:p>
    <w:p>
      <w:pPr>
        <w:ind w:left="720" w:right="0"/>
      </w:pPr>
      <w:r>
        <w:rPr>
          <w:rStyle w:val="font_h2"/>
        </w:rPr>
        <w:t xml:space="preserve">2.1. Lyre</w:t>
      </w:r>
    </w:p>
    <w:p>
      <w:pPr/>
      <w:r>
        <w:rPr/>
        <w:t xml:space="preserve">Validé par le Groupe Spécialisé le 10/10/2012</w:t>
      </w:r>
    </w:p>
    <w:p>
      <w:pPr/>
      <w:r>
        <w:rPr>
          <w:b/>
          <w:bCs/>
        </w:rPr>
        <w:t xml:space="preserve">Description</w:t>
      </w:r>
    </w:p>
    <w:p>
      <w:pPr/>
      <w:r>
        <w:rPr/>
        <w:t xml:space="preserve">La lyre constituant le joint de dilatation devra être caractérisée selon les rapports d'essais suivants :</w:t>
      </w:r>
    </w:p>
    <w:p>
      <w:pPr/>
      <w:r>
        <w:rPr/>
        <w:t xml:space="preserve">Étanchéité à l’eau (NF EN 1928) ;Souplesse à basse température (NF EN 1109) ;Résistance à la traction (NF EN 12311-1) ;Allongement à la rupture (NF EN 12311-1) ;Tenue à la chaleur (NF EN 1110) ;Stabilité dimensionnel (NF EN 1107-1) ;Résistance au choc (NF EN 12691) ;Résistance au poinçonnement statique (NF EN 12730) ;Résistance au pelage des joints (NF EN 12316-1) ;Résistance au cisaillement des joints (NF EN 12317-1) ;Résistance à la déchirure au clou (NF EN 12310-1) ;</w:t>
      </w:r>
    </w:p>
    <w:p>
      <w:pPr/>
      <w:r>
        <w:rPr>
          <w:b/>
          <w:bCs/>
        </w:rPr>
        <w:t xml:space="preserve">Justification</w:t>
      </w:r>
    </w:p>
    <w:p>
      <w:pPr/>
      <w:r>
        <w:rPr/>
        <w:t xml:space="preserve">Procès verbaux d'essais</w:t>
      </w:r>
    </w:p>
    <w:p>
      <w:pPr>
        <w:ind w:left="720" w:right="0"/>
      </w:pPr>
      <w:r>
        <w:rPr>
          <w:rStyle w:val="font_h2"/>
        </w:rPr>
        <w:t xml:space="preserve">2.2. Liant de la lyre</w:t>
      </w:r>
    </w:p>
    <w:p>
      <w:pPr/>
      <w:r>
        <w:rPr/>
        <w:t xml:space="preserve">Validé par le Groupe Spécialisé le 10/10/2012</w:t>
      </w:r>
    </w:p>
    <w:p>
      <w:pPr/>
      <w:r>
        <w:rPr>
          <w:b/>
          <w:bCs/>
        </w:rPr>
        <w:t xml:space="preserve">Description</w:t>
      </w:r>
    </w:p>
    <w:p>
      <w:pPr/>
      <w:r>
        <w:rPr/>
        <w:t xml:space="preserve">Founir les rapports de caractérisation du liant, avec notamment (valeurs initiales et après vieillissement 6 mois à 70 °C, selon Guide UEAtc SBS-APP de décembre 2001) :</w:t>
      </w:r>
    </w:p>
    <w:p>
      <w:pPr/>
      <w:r>
        <w:rPr/>
        <w:t xml:space="preserve">Ramollissement TBA (NF EN 1427) ;Pénétration à +25°C (NF EN 1426) ;Température limite de pliage à froid (NF EN 1609) ;Limite élastique (XP P 84-360) ;</w:t>
      </w:r>
    </w:p>
    <w:p>
      <w:pPr/>
      <w:r>
        <w:rPr>
          <w:b/>
          <w:bCs/>
        </w:rPr>
        <w:t xml:space="preserve">Justification</w:t>
      </w:r>
    </w:p>
    <w:p>
      <w:pPr/>
      <w:r>
        <w:rPr/>
        <w:t xml:space="preserve">Procès verbaux d'essais</w:t>
      </w:r>
    </w:p>
    <w:p>
      <w:pPr>
        <w:ind w:left="720" w:right="0"/>
      </w:pPr>
      <w:r>
        <w:rPr>
          <w:rStyle w:val="font_h2"/>
        </w:rPr>
        <w:t xml:space="preserve">2.3. Accessoires de protection</w:t>
      </w:r>
    </w:p>
    <w:p>
      <w:pPr/>
      <w:r>
        <w:rPr/>
        <w:t xml:space="preserve">Validé par le Groupe Spécialisé le 10/10/2012</w:t>
      </w:r>
    </w:p>
    <w:p>
      <w:pPr/>
      <w:r>
        <w:rPr>
          <w:b/>
          <w:bCs/>
        </w:rPr>
        <w:t xml:space="preserve">Description</w:t>
      </w:r>
    </w:p>
    <w:p>
      <w:pPr/>
      <w:r>
        <w:rPr/>
        <w:t xml:space="preserve">Décrire le type et la nature des protections possibles :</w:t>
      </w:r>
    </w:p>
    <w:p>
      <w:pPr>
        <w:pPr/>
        <w:numPr>
          <w:ilvl w:val="0"/>
          <w:numId w:val="9"/>
        </w:numPr>
      </w:pPr>
      <w:r>
        <w:rPr/>
        <w:t xml:space="preserve">Nom</w:t>
      </w:r>
    </w:p>
    <w:p>
      <w:pPr>
        <w:pPr/>
        <w:numPr>
          <w:ilvl w:val="0"/>
          <w:numId w:val="9"/>
        </w:numPr>
      </w:pPr>
      <w:r>
        <w:rPr/>
        <w:t xml:space="preserve">Matière</w:t>
      </w:r>
    </w:p>
    <w:p>
      <w:pPr>
        <w:pPr/>
        <w:numPr>
          <w:ilvl w:val="0"/>
          <w:numId w:val="9"/>
        </w:numPr>
      </w:pPr>
      <w:r>
        <w:rPr/>
        <w:t xml:space="preserve">Dimension</w:t>
      </w:r>
    </w:p>
    <w:p>
      <w:pPr>
        <w:pPr/>
        <w:numPr>
          <w:ilvl w:val="0"/>
          <w:numId w:val="9"/>
        </w:numPr>
      </w:pPr>
      <w:r>
        <w:rPr/>
        <w:t xml:space="preserve">Norme de référence</w:t>
      </w:r>
    </w:p>
    <w:p>
      <w:pPr>
        <w:pPr/>
        <w:numPr>
          <w:ilvl w:val="0"/>
          <w:numId w:val="9"/>
        </w:numPr>
      </w:pPr>
      <w:r>
        <w:rPr/>
        <w:t xml:space="preserve">Renvoi à un autre ATec ou DTA</w:t>
      </w:r>
    </w:p>
    <w:p>
      <w:pPr/>
      <w:r>
        <w:rPr>
          <w:b/>
          <w:bCs/>
        </w:rPr>
        <w:t xml:space="preserve">Justification</w:t>
      </w:r>
    </w:p>
    <w:p>
      <w:pPr/>
      <w:r>
        <w:rPr/>
        <w:t xml:space="preserve">Fiche technique</w:t>
      </w:r>
    </w:p>
    <w:p>
      <w:pPr>
        <w:ind w:left="720" w:right="0"/>
      </w:pPr>
      <w:r>
        <w:rPr>
          <w:rStyle w:val="font_h2"/>
        </w:rPr>
        <w:t xml:space="preserve">2.4. Cordon</w:t>
      </w:r>
    </w:p>
    <w:p>
      <w:pPr/>
      <w:r>
        <w:rPr/>
        <w:t xml:space="preserve">Validé par le Groupe Spécialisé le 10/10/2012</w:t>
      </w:r>
    </w:p>
    <w:p>
      <w:pPr/>
      <w:r>
        <w:rPr>
          <w:b/>
          <w:bCs/>
        </w:rPr>
        <w:t xml:space="preserve">Description</w:t>
      </w:r>
    </w:p>
    <w:p>
      <w:pPr/>
      <w:r>
        <w:rPr/>
        <w:t xml:space="preserve">Décrire la nature du cordon formant le joint</w:t>
      </w:r>
    </w:p>
    <w:p>
      <w:pPr>
        <w:pPr/>
        <w:numPr>
          <w:ilvl w:val="0"/>
          <w:numId w:val="10"/>
        </w:numPr>
      </w:pPr>
      <w:r>
        <w:rPr/>
        <w:t xml:space="preserve">Dimensions</w:t>
      </w:r>
    </w:p>
    <w:p>
      <w:pPr>
        <w:pPr/>
        <w:numPr>
          <w:ilvl w:val="0"/>
          <w:numId w:val="10"/>
        </w:numPr>
      </w:pPr>
      <w:r>
        <w:rPr/>
        <w:t xml:space="preserve">Matière</w:t>
      </w:r>
    </w:p>
    <w:p>
      <w:pPr>
        <w:pPr/>
        <w:numPr>
          <w:ilvl w:val="0"/>
          <w:numId w:val="10"/>
        </w:numPr>
      </w:pPr>
      <w:r>
        <w:rPr/>
        <w:t xml:space="preserve">Caractéristiques</w:t>
      </w:r>
    </w:p>
    <w:p>
      <w:pPr/>
      <w:r>
        <w:rPr>
          <w:rStyle w:val="font_h1"/>
        </w:rPr>
        <w:t xml:space="preserve">3. Fabrication et contrôle</w:t>
      </w:r>
    </w:p>
    <w:p>
      <w:pPr>
        <w:ind w:left="720" w:right="0"/>
      </w:pPr>
      <w:r>
        <w:rPr>
          <w:rStyle w:val="font_h2"/>
        </w:rPr>
        <w:t xml:space="preserve">3.1. Nomenclature de contrôle</w:t>
      </w:r>
    </w:p>
    <w:p>
      <w:pPr/>
      <w:r>
        <w:rPr/>
        <w:t xml:space="preserve">Validé par le Groupe Spécialisé le 10/10/2012</w:t>
      </w:r>
    </w:p>
    <w:p>
      <w:pPr/>
      <w:r>
        <w:rPr>
          <w:b/>
          <w:bCs/>
        </w:rPr>
        <w:t xml:space="preserve">Description</w:t>
      </w:r>
    </w:p>
    <w:p>
      <w:pPr/>
      <w:r>
        <w:rPr/>
        <w:t xml:space="preserve">Indiquer le lieu de fabrication (Ville, Pays) Décrire les contrôles, fréquences, normes de référence sous forme de tableau.</w:t>
      </w:r>
    </w:p>
    <w:p>
      <w:pPr/>
      <w:r>
        <w:rPr>
          <w:b/>
          <w:bCs/>
        </w:rPr>
        <w:t xml:space="preserve">Justification</w:t>
      </w:r>
    </w:p>
    <w:p>
      <w:pPr/>
      <w:r>
        <w:rPr/>
        <w:t xml:space="preserve">Plan de contrôle qualité du fabricant Relevé des contrôles qualité sur la période n-1 et n-2 Visite éventuelle de l'usine de fabrication Fournir un exemple d'étiquetage de la lyre Certificat ISO 9001 de l'usine</w:t>
      </w:r>
    </w:p>
    <w:p>
      <w:pPr/>
      <w:r>
        <w:rPr>
          <w:rStyle w:val="font_h1"/>
        </w:rPr>
        <w:t xml:space="preserve">4. Mise en oeuvre</w:t>
      </w:r>
    </w:p>
    <w:p>
      <w:pPr>
        <w:ind w:left="720" w:right="0"/>
      </w:pPr>
      <w:r>
        <w:rPr>
          <w:rStyle w:val="font_h2"/>
        </w:rPr>
        <w:t xml:space="preserve">4.1. Gros oeuvre</w:t>
      </w:r>
    </w:p>
    <w:p>
      <w:pPr/>
      <w:r>
        <w:rPr/>
        <w:t xml:space="preserve">Validé par le Groupe Spécialisé le 10/10/2012</w:t>
      </w:r>
    </w:p>
    <w:p>
      <w:pPr/>
      <w:r>
        <w:rPr>
          <w:b/>
          <w:bCs/>
        </w:rPr>
        <w:t xml:space="preserve">Description</w:t>
      </w:r>
    </w:p>
    <w:p>
      <w:pPr/>
      <w:r>
        <w:rPr/>
        <w:t xml:space="preserve">Fournir les schémas de principe du gros œuvre :</w:t>
      </w:r>
    </w:p>
    <w:p>
      <w:pPr/>
      <w:r>
        <w:rPr/>
        <w:t xml:space="preserve">costière avec rainurecostière avec chanfreinsans costièreencuvementrecharge asphaltebutées en béton pour terrasses accessibles aux piétonschanfrein dans l'isolantexemple de traitement en zone sismiquefigure de traitement des relevéscas du joint en T ou en croix</w:t>
      </w:r>
    </w:p>
    <w:p>
      <w:pPr/>
      <w:r>
        <w:rPr>
          <w:b/>
          <w:bCs/>
        </w:rPr>
        <w:t xml:space="preserve">Justification</w:t>
      </w:r>
    </w:p>
    <w:p>
      <w:pPr/>
      <w:r>
        <w:rPr/>
        <w:t xml:space="preserve">Figures</w:t>
      </w:r>
    </w:p>
    <w:p>
      <w:pPr>
        <w:ind w:left="720" w:right="0"/>
      </w:pPr>
      <w:r>
        <w:rPr>
          <w:rStyle w:val="font_h2"/>
        </w:rPr>
        <w:t xml:space="preserve">4.2. Lyre, cordon, protection</w:t>
      </w:r>
    </w:p>
    <w:p>
      <w:pPr>
        <w:ind w:left="720" w:right="0"/>
      </w:pPr>
      <w:r>
        <w:rPr>
          <w:rStyle w:val="font_h2"/>
        </w:rPr>
        <w:t xml:space="preserve">4.3. Cas des joints de dilatation sans isolation thermique</w:t>
      </w:r>
    </w:p>
    <w:p>
      <w:pPr>
        <w:ind w:left="720" w:right="0"/>
      </w:pPr>
      <w:r>
        <w:rPr>
          <w:rStyle w:val="font_h2"/>
        </w:rPr>
        <w:t xml:space="preserve">4.4. Cas des joints de dilatation avec isolation thermique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t xml:space="preserve">Validé par le Groupe Spécialisé le 10/10/2012</w:t>
      </w:r>
    </w:p>
    <w:p>
      <w:pPr/>
      <w:r>
        <w:rPr>
          <w:b/>
          <w:bCs/>
        </w:rPr>
        <w:t xml:space="preserve">Description</w:t>
      </w:r>
    </w:p>
    <w:p>
      <w:pPr/>
      <w:r>
        <w:rPr/>
        <w:t xml:space="preserve">Les dispositions de réparation doivent être décrites et le remplacement des composants détaillé.Les conditions d'interventions de l'entreprise d'étanchéité doivent être précisées.Les restrictions de réparations (ex. produits incompatibles) doivent être précisés.</w:t>
      </w:r>
    </w:p>
    <w:p>
      <w:pPr/>
      <w:r>
        <w:rPr>
          <w:b/>
          <w:bCs/>
        </w:rPr>
        <w:t xml:space="preserve">Justification</w:t>
      </w:r>
    </w:p>
    <w:p>
      <w:pPr/>
      <w:r>
        <w:rPr/>
        <w:t xml:space="preserve">Notice de réparationKit des matériaux pour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t xml:space="preserve">Il est nécessaire d'effectuer au moins une visite de chantier lors de l'instruction</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E10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4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2025-12-15T03:51:36+01:00</dcterms:created>
  <dcterms:modified xsi:type="dcterms:W3CDTF">2025-12-15T03:51:36+01:00</dcterms:modified>
</cp:coreProperties>
</file>

<file path=docProps/custom.xml><?xml version="1.0" encoding="utf-8"?>
<Properties xmlns="http://schemas.openxmlformats.org/officeDocument/2006/custom-properties" xmlns:vt="http://schemas.openxmlformats.org/officeDocument/2006/docPropsVTypes"/>
</file>