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5.2 - Édité le 31/08/2026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5.2 « Produits et procédés d'étanchéité de toitures-terrasses, de parois enterrées et cuvelage »</w:t>
      </w:r>
    </w:p>
    <w:p>
      <w:pPr/>
      <w:r>
        <w:rPr>
          <w:rStyle w:val="font_default"/>
        </w:rPr>
        <w:t xml:space="preserve">Famille de produits ou procédés : </w:t>
      </w:r>
      <w:r>
        <w:rPr>
          <w:rStyle w:val="font_h3"/>
        </w:rPr>
        <w:t xml:space="preserve">Revêtement d'étanchéité de toitures fixé mécaniquement en bicouche à base de bitume modifié</w:t>
      </w:r>
    </w:p>
    <w:p>
      <w:pPr/>
      <w:r>
        <w:rPr>
          <w:rStyle w:val="font_h1"/>
        </w:rPr>
        <w:t xml:space="preserve">1. Principe</w:t>
      </w:r>
    </w:p>
    <w:p>
      <w:pPr/>
      <w:r>
        <w:rPr>
          <w:rStyle w:val="font_h1"/>
        </w:rPr>
        <w:t xml:space="preserve">2. Domaine d'emploi</w:t>
      </w:r>
    </w:p>
    <w:p>
      <w:pPr>
        <w:ind w:left="720" w:right="0"/>
      </w:pPr>
      <w:r>
        <w:rPr>
          <w:rStyle w:val="font_h2"/>
        </w:rPr>
        <w:t xml:space="preserve">2.1. Généralités</w:t>
      </w:r>
    </w:p>
    <w:p>
      <w:pPr/>
      <w:r>
        <w:rPr>
          <w:rStyle w:val="font_h1"/>
        </w:rPr>
        <w:t xml:space="preserve">3. Matériaux</w:t>
      </w:r>
    </w:p>
    <w:p>
      <w:pPr>
        <w:ind w:left="720" w:right="0"/>
      </w:pPr>
      <w:r>
        <w:rPr>
          <w:rStyle w:val="font_h2"/>
        </w:rPr>
        <w:t xml:space="preserve">3.1. Taux de fines</w:t>
      </w:r>
    </w:p>
    <w:p>
      <w:pPr/>
      <w:r>
        <w:rPr/>
        <w:t xml:space="preserve">Validé par le Groupe Spécialisé le 05/07/2019</w:t>
      </w:r>
    </w:p>
    <w:p>
      <w:pPr/>
      <w:r>
        <w:rPr>
          <w:b/>
          <w:bCs/>
        </w:rPr>
        <w:t xml:space="preserve">Description</w:t>
      </w:r>
    </w:p>
    <w:p>
      <w:pPr/>
      <w:r>
        <w:rPr/>
        <w:t xml:space="preserve">Compte-tenu des connaissances du Groupe sur les liants bitumineux des revêtements d’étanchéité et du respect de la Directive Ueatc spécifique au SBS, les Experts concluent que les titulaires pourront déclarer dans l’Avis Technique de leur procédé un taux maximal de fines au plus égal à 37 %.</w:t>
      </w:r>
    </w:p>
    <w:p>
      <w:pPr/>
      <w:r>
        <w:rPr/>
        <w:t xml:space="preserve">Corollaire de cette décision :Dans le cas de nouvelles instructions de dossiers, il va de soi que si le titulaire revendique un taux de fines supérieur à 37 % dans son Avis Technique, il devra fournir des éléments de preuve justifiant les performances du liant liées à cette donnée conformément à la directive Ueatc.</w:t>
      </w:r>
    </w:p>
    <w:p>
      <w:pPr/>
      <w:r>
        <w:rPr>
          <w:rStyle w:val="font_h1"/>
        </w:rPr>
        <w:t xml:space="preserve">4. Fabrication et contrôle</w:t>
      </w:r>
    </w:p>
    <w:p>
      <w:pPr/>
      <w:r>
        <w:rPr>
          <w:rStyle w:val="font_h1"/>
        </w:rPr>
        <w:t xml:space="preserve">5. Mise en œuvre</w:t>
      </w:r>
    </w:p>
    <w:p>
      <w:pPr/>
      <w:r>
        <w:rPr>
          <w:rStyle w:val="font_h1"/>
        </w:rPr>
        <w:t xml:space="preserve">6. Assistance technique</w:t>
      </w:r>
    </w:p>
    <w:p>
      <w:pPr/>
      <w:r>
        <w:rPr>
          <w:rStyle w:val="font_h1"/>
        </w:rPr>
        <w:t xml:space="preserve">7. Entretien et réparation</w:t>
      </w:r>
    </w:p>
    <w:p>
      <w:pPr/>
      <w:r>
        <w:rPr>
          <w:rStyle w:val="font_h1"/>
        </w:rPr>
        <w:t xml:space="preserve">8. Références</w:t>
      </w:r>
    </w:p>
    <w:p>
      <w:pPr/>
      <w:r>
        <w:rPr/>
        <w:t xml:space="preserve">Validé par le Groupe Spécialisé le 30/04/2018</w:t>
      </w:r>
    </w:p>
    <w:p>
      <w:pPr/>
      <w:r>
        <w:rPr>
          <w:b/>
          <w:bCs/>
        </w:rPr>
        <w:t xml:space="preserve">Description</w:t>
      </w:r>
    </w:p>
    <w:p>
      <w:pPr/>
      <w:r>
        <w:rPr/>
        <w:t xml:space="preserve">Les références de chantier doivent être détaillées et ne peuvent se limiter à une extraction des ventes. Seuls les dossiers présentant une liste de références détaillée sera présentée au GS 5.2</w:t>
      </w:r>
    </w:p>
    <w:p>
      <w:pPr/>
      <w:r>
        <w:rPr/>
        <w:t xml:space="preserve">Le Groupe Spécialisé demande à ce que les listes de références de chantiers fournies lors des instructions des demandes soient présentées sous la forme d'un tableau synthétique comportant obligatoirement: La référence et l'adresse du chantier, L'année de réalisation, La surface de toiture, La destination de toiture, L'élément porteur, La description du complexe d'étanchéité, Le nom et les coordonnées du maître d'ouvrage, Le nom et les coordonnées de l'entreprise de pose du complexe d'étanchéité, Le nom et les coordonnées du contrôleur technique, Le nom et les coordonnées du maître d'oeuvre.</w:t>
      </w:r>
    </w:p>
    <w:p>
      <w:pPr/>
      <w:r>
        <w:rPr/>
        <w:t xml:space="preserve">Cette liste doit démontrer le bon tour de main acquis par l'entreprise de pose et la capacité du fabricant à assurer une assistance technique sur son procédé. Pour des conceptions plus innovantes, la liste doit faire figurer les nouvelles solutions, auquel cas, la demande d'Avis Technique ne serait pas présentée en commission ou ne pourrait pas recevoir d'Avis favorable de la commission en cas de passage forcé sans ces références.</w:t>
      </w:r>
    </w:p>
    <w:p>
      <w:pPr/>
      <w:r>
        <w:rPr>
          <w:b/>
          <w:bCs/>
        </w:rPr>
        <w:t xml:space="preserve">Justification</w:t>
      </w:r>
    </w:p>
    <w:p>
      <w:pPr/>
      <w:r>
        <w:rPr/>
        <w:t xml:space="preserve">Liste de références chantiers en lien avec les préconisations du GS 5.2</w:t>
      </w:r>
    </w:p>
    <w:p>
      <w:pPr/>
      <w:r>
        <w:rPr>
          <w:rStyle w:val="font_h1"/>
        </w:rPr>
        <w:t xml:space="preserve">9. Résultats expérimentaux</w:t>
      </w:r>
    </w:p>
    <w:p>
      <w:pPr>
        <w:ind w:left="720" w:right="0"/>
      </w:pPr>
      <w:r>
        <w:rPr>
          <w:rStyle w:val="font_h2"/>
        </w:rPr>
        <w:t xml:space="preserve">9.1. Historique</w:t>
      </w:r>
    </w:p>
    <w:p>
      <w:pPr/>
      <w:r>
        <w:rPr/>
        <w:t xml:space="preserve">Validé par le Groupe Spécialisé le 11/10/2021</w:t>
      </w:r>
    </w:p>
    <w:p>
      <w:pPr/>
      <w:r>
        <w:rPr>
          <w:b/>
          <w:bCs/>
        </w:rPr>
        <w:t xml:space="preserve">Description</w:t>
      </w:r>
    </w:p>
    <w:p>
      <w:pPr/>
      <w:r>
        <w:rPr/>
        <w:t xml:space="preserve">L’historique des rapports d’essais réalisés devra être conservé au paragraphe « Résultats expérimentaux ».</w:t>
      </w:r>
    </w:p>
    <w:p>
      <w:pPr>
        <w:ind w:left="720" w:right="0"/>
      </w:pPr>
      <w:r>
        <w:rPr>
          <w:rStyle w:val="font_h2"/>
        </w:rPr>
        <w:t xml:space="preserve">9.2. Broof</w:t>
      </w:r>
    </w:p>
    <w:p>
      <w:pPr/>
      <w:r>
        <w:rPr/>
        <w:t xml:space="preserve">Validé par le Groupe Spécialisé le 25/09/2017</w:t>
      </w:r>
    </w:p>
    <w:p>
      <w:pPr/>
      <w:r>
        <w:rPr>
          <w:b/>
          <w:bCs/>
        </w:rPr>
        <w:t xml:space="preserve">Description</w:t>
      </w:r>
    </w:p>
    <w:p>
      <w:pPr/>
      <w:r>
        <w:rPr/>
        <w:t xml:space="preserve">La référence à un classement Broof (t3) doit être renseignée au paragraphe B- Résultats expérimentaux du Dossier Technique. Le numéro de procès verbal, la date et le nom du laboratoire seront indiqués.</w:t>
      </w:r>
    </w:p>
    <w:p>
      <w:pPr/>
      <w:r>
        <w:rPr>
          <w:b/>
          <w:bCs/>
        </w:rPr>
        <w:t xml:space="preserve">Justification</w:t>
      </w:r>
    </w:p>
    <w:p>
      <w:pPr/>
      <w:r>
        <w:rPr/>
        <w:t xml:space="preserve">Procès-verbal de classement au feu</w:t>
      </w:r>
    </w:p>
    <w:p>
      <w:pPr/>
      <w:r>
        <w:rPr>
          <w:rStyle w:val="font_h1"/>
        </w:rPr>
        <w:t xml:space="preserve">10. Tableaux et figures</w:t>
      </w:r>
    </w:p>
    <w:p>
      <w:pPr>
        <w:ind w:left="720" w:right="0"/>
      </w:pPr>
      <w:r>
        <w:rPr>
          <w:rStyle w:val="font_h2"/>
        </w:rPr>
        <w:t xml:space="preserve">10.1. Figures</w:t>
      </w:r>
    </w:p>
    <w:p>
      <w:pPr/>
      <w:r>
        <w:rPr/>
        <w:t xml:space="preserve">Validé par le Groupe Spécialisé le 14/03/2022</w:t>
      </w:r>
    </w:p>
    <w:p>
      <w:pPr/>
      <w:r>
        <w:rPr>
          <w:b/>
          <w:bCs/>
        </w:rPr>
        <w:t xml:space="preserve">Description</w:t>
      </w:r>
    </w:p>
    <w:p>
      <w:pPr/>
      <w:r>
        <w:rPr/>
        <w:t xml:space="preserve">Les schémas et figures présentés dans les dossiers technique dervont être réalisés avec un logiciel approprié pour le dessin technique du bâtiment ou industriel.</w:t>
      </w:r>
    </w:p>
    <w:sectPr>
      <w:headerReference w:type="default" r:id="rId7"/>
      <w:footerReference w:type="default" r:id="rId8"/>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2026-08-31T07:16:19+02:00</dcterms:created>
  <dcterms:modified xsi:type="dcterms:W3CDTF">2026-08-31T07:16:19+02:00</dcterms:modified>
</cp:coreProperties>
</file>

<file path=docProps/custom.xml><?xml version="1.0" encoding="utf-8"?>
<Properties xmlns="http://schemas.openxmlformats.org/officeDocument/2006/custom-properties" xmlns:vt="http://schemas.openxmlformats.org/officeDocument/2006/docPropsVTypes"/>
</file>