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17/07/2026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Revêtement d'étanchéité de toitures fixé mécaniquement en bicouche à base de bitume modifié</w:t>
      </w:r>
    </w:p>
    <w:p>
      <w:pPr/>
      <w:r>
        <w:rPr>
          <w:rStyle w:val="font_h1"/>
        </w:rPr>
        <w:t xml:space="preserve">1. Principe</w:t>
      </w:r>
    </w:p>
    <w:p>
      <w:pPr/>
      <w:r>
        <w:rPr>
          <w:rStyle w:val="font_h1"/>
        </w:rPr>
        <w:t xml:space="preserve">2. Domaine d'emploi</w:t>
      </w:r>
    </w:p>
    <w:p>
      <w:pPr>
        <w:ind w:left="720" w:right="0"/>
      </w:pPr>
      <w:r>
        <w:rPr>
          <w:rStyle w:val="font_h2"/>
        </w:rPr>
        <w:t xml:space="preserve">2.1. Généralités</w:t>
      </w:r>
    </w:p>
    <w:p>
      <w:pPr/>
      <w:r>
        <w:rPr>
          <w:rStyle w:val="font_h1"/>
        </w:rPr>
        <w:t xml:space="preserve">3. Matériaux</w:t>
      </w:r>
    </w:p>
    <w:p>
      <w:pPr>
        <w:ind w:left="720" w:right="0"/>
      </w:pPr>
      <w:r>
        <w:rPr>
          <w:rStyle w:val="font_h2"/>
        </w:rPr>
        <w:t xml:space="preserve">3.1. Taux de fines</w:t>
      </w:r>
    </w:p>
    <w:p>
      <w:pPr/>
      <w:r>
        <w:rPr/>
        <w:t xml:space="preserve">Validé par le Groupe Spécialisé le 05/07/2019</w:t>
      </w:r>
    </w:p>
    <w:p>
      <w:pPr/>
      <w:r>
        <w:rPr>
          <w:b/>
          <w:bCs/>
        </w:rPr>
        <w:t xml:space="preserve">Description</w:t>
      </w:r>
    </w:p>
    <w:p>
      <w:pPr/>
      <w:r>
        <w:rPr/>
        <w:t xml:space="preserve">Compte-tenu des connaissances du Groupe sur les liants bitumineux des revêtements d’étanchéité et du respect de la Directive Ueatc spécifique au SBS, les Experts concluent que les titulaires pourront déclarer dans l’Avis Technique de leur procédé un taux maximal de fines au plus égal à 37 %.</w:t>
      </w:r>
    </w:p>
    <w:p>
      <w:pPr/>
      <w:r>
        <w:rPr/>
        <w:t xml:space="preserve">Corollaire de cette décision :Dans le cas de nouvelles instructions de dossiers, il va de soi que si le titulaire revendique un taux de fines supérieur à 37 % dans son Avis Technique, il devra fournir des éléments de preuve justifiant les performances du liant liées à cette donnée conformément à la directive Ueatc.</w:t>
      </w:r>
    </w:p>
    <w:p>
      <w:pPr/>
      <w:r>
        <w:rPr>
          <w:rStyle w:val="font_h1"/>
        </w:rPr>
        <w:t xml:space="preserve">4. Fabrication et contrôle</w:t>
      </w:r>
    </w:p>
    <w:p>
      <w:pPr/>
      <w:r>
        <w:rPr>
          <w:rStyle w:val="font_h1"/>
        </w:rPr>
        <w:t xml:space="preserve">5. Mise en œuvre</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ind w:left="720" w:right="0"/>
      </w:pPr>
      <w:r>
        <w:rPr>
          <w:rStyle w:val="font_h2"/>
        </w:rPr>
        <w:t xml:space="preserve">9.2. Broof</w:t>
      </w:r>
    </w:p>
    <w:p>
      <w:pPr/>
      <w:r>
        <w:rPr/>
        <w:t xml:space="preserve">Validé par le Groupe Spécialisé le 25/09/2017</w:t>
      </w:r>
    </w:p>
    <w:p>
      <w:pPr/>
      <w:r>
        <w:rPr>
          <w:b/>
          <w:bCs/>
        </w:rPr>
        <w:t xml:space="preserve">Description</w:t>
      </w:r>
    </w:p>
    <w:p>
      <w:pPr/>
      <w:r>
        <w:rPr/>
        <w:t xml:space="preserve">La référence à un classement Broof (t3) doit être renseignée au paragraphe B- Résultats expérimentaux du Dossier Technique. Le numéro de procès verbal, la date et le nom du laboratoire seront indiqués.</w:t>
      </w:r>
    </w:p>
    <w:p>
      <w:pPr/>
      <w:r>
        <w:rPr>
          <w:b/>
          <w:bCs/>
        </w:rPr>
        <w:t xml:space="preserve">Justification</w:t>
      </w:r>
    </w:p>
    <w:p>
      <w:pPr/>
      <w:r>
        <w:rPr/>
        <w:t xml:space="preserve">Procès-verbal de classement au feu</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2026-07-17T01:31:41+02:00</dcterms:created>
  <dcterms:modified xsi:type="dcterms:W3CDTF">2026-07-17T01:31:41+02:00</dcterms:modified>
</cp:coreProperties>
</file>

<file path=docProps/custom.xml><?xml version="1.0" encoding="utf-8"?>
<Properties xmlns="http://schemas.openxmlformats.org/officeDocument/2006/custom-properties" xmlns:vt="http://schemas.openxmlformats.org/officeDocument/2006/docPropsVTypes"/>
</file>