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fixé mécaniquement en bicouche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conformément à la directive Ueatc.</w:t>
      </w:r>
    </w:p>
    <w:p>
      <w:pPr/>
      <w:r>
        <w:rPr>
          <w:rStyle w:val="font_h1"/>
        </w:rPr>
        <w:t xml:space="preserve">4. Fabrication et contrôle</w:t>
      </w:r>
    </w:p>
    <w:p>
      <w:pPr/>
      <w:r>
        <w:rPr>
          <w:rStyle w:val="font_h1"/>
        </w:rPr>
        <w:t xml:space="preserve">5. Mise en œuvre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Procès-verbal de classement au feu</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2026-10-16T02:29:59+02:00</dcterms:created>
  <dcterms:modified xsi:type="dcterms:W3CDTF">2026-10-16T02:29:59+02:00</dcterms:modified>
</cp:coreProperties>
</file>

<file path=docProps/custom.xml><?xml version="1.0" encoding="utf-8"?>
<Properties xmlns="http://schemas.openxmlformats.org/officeDocument/2006/custom-properties" xmlns:vt="http://schemas.openxmlformats.org/officeDocument/2006/docPropsVTypes"/>
</file>