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11/03/2025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PEX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21/03/2024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la (les) classe(s) d'application</w:t>
      </w:r>
    </w:p>
    <w:p>
      <w:pPr/>
      <w:r>
        <w:rPr/>
        <w:t xml:space="preserve">Nouvelle réglementation en France suite à la publication de l'arrêté du 25 juin 2020 relatif aux matériaux et produits métalliques qui entrent en contact avec l'eau destinée à la consommation humaine</w:t>
      </w:r>
    </w:p>
    <w:p>
      <w:pPr>
        <w:pPr/>
        <w:numPr>
          <w:ilvl w:val="0"/>
          <w:numId w:val="9"/>
        </w:numPr>
      </w:pPr>
      <w:r>
        <w:rPr/>
        <w:t xml:space="preserve">Le changement est effectif à partir de l’entrée en vigueur de l’arrêté soit en décembre 2020</w:t>
      </w:r>
    </w:p>
    <w:p>
      <w:pPr>
        <w:pPr/>
        <w:numPr>
          <w:ilvl w:val="0"/>
          <w:numId w:val="9"/>
        </w:numPr>
      </w:pPr>
      <w:r>
        <w:rPr/>
        <w:t xml:space="preserve">A partir de cette date, les matériaux non conformes à la liste positive des 4MS ne seront plus acceptés</w:t>
      </w:r>
    </w:p>
    <w:p>
      <w:pPr>
        <w:pPr/>
        <w:numPr>
          <w:ilvl w:val="0"/>
          <w:numId w:val="9"/>
        </w:numPr>
      </w:pPr>
      <w:r>
        <w:rPr/>
        <w:t xml:space="preserve">Pour les produits qui sont déjà couverts par une ACS, les fabricants ont une période de transition de 2 ans pour se mettre en conformité, soit avant la fin de 2022).</w:t>
      </w:r>
    </w:p>
    <w:p>
      <w:pPr>
        <w:pPr/>
        <w:numPr>
          <w:ilvl w:val="0"/>
          <w:numId w:val="9"/>
        </w:numPr>
      </w:pPr>
      <w:r>
        <w:rPr/>
        <w:t xml:space="preserve">Il n'est pas obligatoire durant cette période de transition de nous envoyer une nouvelle ACS.</w:t>
      </w:r>
    </w:p>
    <w:p>
      <w:pPr>
        <w:pPr/>
        <w:numPr>
          <w:ilvl w:val="0"/>
          <w:numId w:val="9"/>
        </w:numPr>
      </w:pPr>
      <w:r>
        <w:rPr/>
        <w:t xml:space="preserve">A partir de janvier 2023, tous les matériaux doivent être conformes à la liste 4MS.</w:t>
      </w:r>
    </w:p>
    <w:p>
      <w:pPr>
        <w:pPr/>
        <w:numPr>
          <w:ilvl w:val="0"/>
          <w:numId w:val="9"/>
        </w:numPr>
      </w:pPr>
      <w:r>
        <w:rPr/>
        <w:t xml:space="preserve">Pour les ACS dont la date de validité expire avant la fin de 2022, le renouvellement doit être effectué avec des matériaux conformes à cette liste.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à fournir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1440" w:right="0"/>
      </w:pPr>
      <w:r>
        <w:rPr>
          <w:rStyle w:val="font_h3"/>
        </w:rPr>
        <w:t xml:space="preserve">6.2.1.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AA1E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2025-03-11T12:19:12+01:00</dcterms:created>
  <dcterms:modified xsi:type="dcterms:W3CDTF">2025-03-11T12:19:12+01:00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