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5.2 - Édité le 16/10/2026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5.2 « Produits et procédés d'étanchéité de toitures-terrasses, de parois enterrées et cuvelage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Revêtement d'étanchéité de toitures fixé mécaniquement en monocouche à base de membrane PVC-P</w:t>
      </w:r>
    </w:p>
    <w:p>
      <w:pPr/>
      <w:r>
        <w:rPr>
          <w:rStyle w:val="font_h1"/>
        </w:rPr>
        <w:t xml:space="preserve">1. Principe</w:t>
      </w:r>
    </w:p>
    <w:p>
      <w:pPr/>
      <w:r>
        <w:rPr>
          <w:rStyle w:val="font_h1"/>
        </w:rPr>
        <w:t xml:space="preserve">2. Domaine d'emploi</w:t>
      </w:r>
    </w:p>
    <w:p>
      <w:pPr>
        <w:ind w:left="720" w:right="0"/>
      </w:pPr>
      <w:r>
        <w:rPr>
          <w:rStyle w:val="font_h2"/>
        </w:rPr>
        <w:t xml:space="preserve">2.1. Généralités</w:t>
      </w:r>
    </w:p>
    <w:p>
      <w:pPr/>
      <w:r>
        <w:rPr>
          <w:rStyle w:val="font_h1"/>
        </w:rPr>
        <w:t xml:space="preserve">3. Matériaux</w:t>
      </w:r>
    </w:p>
    <w:p>
      <w:pPr>
        <w:ind w:left="720" w:right="0"/>
      </w:pPr>
      <w:r>
        <w:rPr>
          <w:rStyle w:val="font_h2"/>
        </w:rPr>
        <w:t xml:space="preserve">3.1. Revêtement</w:t>
      </w:r>
    </w:p>
    <w:p>
      <w:pPr>
        <w:ind w:left="720" w:right="0"/>
      </w:pPr>
      <w:r>
        <w:rPr>
          <w:rStyle w:val="font_h2"/>
        </w:rPr>
        <w:t xml:space="preserve">3.2. Accessoires</w:t>
      </w:r>
    </w:p>
    <w:p>
      <w:pPr>
        <w:ind w:left="720" w:right="0"/>
      </w:pPr>
      <w:r>
        <w:rPr>
          <w:rStyle w:val="font_h2"/>
        </w:rPr>
        <w:t xml:space="preserve">3.3. Pare-vapeur</w:t>
      </w:r>
    </w:p>
    <w:p>
      <w:pPr/>
      <w:r>
        <w:rPr/>
        <w:t xml:space="preserve">Validé par le Groupe Spécialisé le 11/01/2021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L’emploi des pare-vapeur polyéthylène est limité uniquement sur éléments porteurs en maçonnerie dans la cadre des Avis Techniques des familles de revêtements en PVC-P.</w:t>
      </w:r>
    </w:p>
    <w:p>
      <w:pPr/>
      <w:r>
        <w:rPr>
          <w:rStyle w:val="font_h1"/>
        </w:rPr>
        <w:t xml:space="preserve">4. Fabrication et contrôle</w:t>
      </w:r>
    </w:p>
    <w:p>
      <w:pPr>
        <w:ind w:left="720" w:right="0"/>
      </w:pPr>
      <w:r>
        <w:rPr>
          <w:rStyle w:val="font_h2"/>
        </w:rPr>
        <w:t xml:space="preserve">4.1. contrôles particuliers</w:t>
      </w:r>
    </w:p>
    <w:p>
      <w:pPr/>
      <w:r>
        <w:rPr/>
        <w:t xml:space="preserve">Validé par le Groupe Spécialisé le 13/09/2021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Un rapport d’essai et un suivi de la valeur μ des membranes PVC-P sont nécessaires pour faire apparaitre cette valeur dans les DTA des produits concernés.</w:t>
      </w:r>
    </w:p>
    <w:p>
      <w:pPr/>
      <w:r>
        <w:rPr>
          <w:b/>
          <w:bCs/>
        </w:rPr>
        <w:t xml:space="preserve">Critères d'évaluation</w:t>
      </w:r>
    </w:p>
    <w:p>
      <w:pPr/>
      <w:r>
        <w:rPr/>
        <w:t xml:space="preserve">Un rapport d’essai et un suivi de la valeur μ des membranes PVC-P sont nécessaires pour faire apparaitre cette valeur dans les DTA des produits concernés.</w:t>
      </w:r>
    </w:p>
    <w:p>
      <w:pPr/>
      <w:r>
        <w:rPr>
          <w:rStyle w:val="font_h1"/>
        </w:rPr>
        <w:t xml:space="preserve">5. Mise en oeuvre</w:t>
      </w:r>
    </w:p>
    <w:p>
      <w:pPr/>
      <w:r>
        <w:rPr>
          <w:rStyle w:val="font_h1"/>
        </w:rPr>
        <w:t xml:space="preserve">6. Assistance technique</w:t>
      </w:r>
    </w:p>
    <w:p>
      <w:pPr/>
      <w:r>
        <w:rPr>
          <w:rStyle w:val="font_h1"/>
        </w:rPr>
        <w:t xml:space="preserve">7. Entretien et réparation</w:t>
      </w:r>
    </w:p>
    <w:p>
      <w:pPr/>
      <w:r>
        <w:rPr>
          <w:rStyle w:val="font_h1"/>
        </w:rPr>
        <w:t xml:space="preserve">8. Références</w:t>
      </w:r>
    </w:p>
    <w:p>
      <w:pPr/>
      <w:r>
        <w:rPr>
          <w:rStyle w:val="font_h1"/>
        </w:rPr>
        <w:t xml:space="preserve">9. Résultats expérimentaux</w:t>
      </w:r>
    </w:p>
    <w:p>
      <w:pPr>
        <w:ind w:left="720" w:right="0"/>
      </w:pPr>
      <w:r>
        <w:rPr>
          <w:rStyle w:val="font_h2"/>
        </w:rPr>
        <w:t xml:space="preserve">9.1. Broof</w:t>
      </w:r>
    </w:p>
    <w:p>
      <w:pPr>
        <w:ind w:left="720" w:right="0"/>
      </w:pPr>
      <w:r>
        <w:rPr>
          <w:rStyle w:val="font_h2"/>
        </w:rPr>
        <w:t xml:space="preserve">9.2. Historique</w:t>
      </w:r>
    </w:p>
    <w:p>
      <w:pPr/>
      <w:r>
        <w:rPr/>
        <w:t xml:space="preserve">Validé par le Groupe Spécialisé le 11/10/2021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L’historique des rapports d’essais réalisés devra être conservé au paragraphe « Résultats expérimentaux ».</w:t>
      </w:r>
    </w:p>
    <w:p>
      <w:pPr/>
      <w:r>
        <w:rPr>
          <w:rStyle w:val="font_h1"/>
        </w:rPr>
        <w:t xml:space="preserve">10. Tableaux et figures</w:t>
      </w:r>
    </w:p>
    <w:p>
      <w:pPr>
        <w:ind w:left="720" w:right="0"/>
      </w:pPr>
      <w:r>
        <w:rPr>
          <w:rStyle w:val="font_h2"/>
        </w:rPr>
        <w:t xml:space="preserve">10.1. Figures</w:t>
      </w:r>
    </w:p>
    <w:p>
      <w:pPr/>
      <w:r>
        <w:rPr/>
        <w:t xml:space="preserve">Validé par le Groupe Spécialisé le 14/03/2022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Les schémas et figures présentés dans les dossiers technique dervont être réalisés avec un logiciel approprié pour le dessin technique du bâtiment ou industriel.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2026-10-16T02:30:11+02:00</dcterms:created>
  <dcterms:modified xsi:type="dcterms:W3CDTF">2026-10-16T02:30:11+02:00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