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17/04/2026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PVC-P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Revêtement</w:t>
      </w:r>
    </w:p>
    <w:p>
      <w:pPr>
        <w:ind w:left="720" w:right="0"/>
      </w:pPr>
      <w:r>
        <w:rPr>
          <w:rStyle w:val="font_h2"/>
        </w:rPr>
        <w:t xml:space="preserve">3.2. Accessoires</w:t>
      </w:r>
    </w:p>
    <w:p>
      <w:pPr>
        <w:ind w:left="720" w:right="0"/>
      </w:pPr>
      <w:r>
        <w:rPr>
          <w:rStyle w:val="font_h2"/>
        </w:rPr>
        <w:t xml:space="preserve">3.3. Pare-vapeur</w:t>
      </w:r>
    </w:p>
    <w:p>
      <w:pPr/>
      <w:r>
        <w:rPr/>
        <w:t xml:space="preserve">Validé par le Groupe Spécialisé le 11/01/2021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L’emploi des pare-vapeur polyéthylène est limité uniquement sur éléments porteurs en maçonnerie dans la cadre des Avis Techniques des familles de revêtements en PVC-P.</w:t>
      </w:r>
    </w:p>
    <w:p>
      <w:pPr/>
      <w:r>
        <w:rPr>
          <w:rStyle w:val="font_h1"/>
        </w:rPr>
        <w:t xml:space="preserve">4. Fabrication et contrôle</w:t>
      </w:r>
    </w:p>
    <w:p>
      <w:pPr>
        <w:ind w:left="720" w:right="0"/>
      </w:pPr>
      <w:r>
        <w:rPr>
          <w:rStyle w:val="font_h2"/>
        </w:rPr>
        <w:t xml:space="preserve">4.1. contrôles particuliers</w:t>
      </w:r>
    </w:p>
    <w:p>
      <w:pPr/>
      <w:r>
        <w:rPr/>
        <w:t xml:space="preserve">Validé par le Groupe Spécialisé le 13/09/2021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Broof</w:t>
      </w:r>
    </w:p>
    <w:p>
      <w:pPr>
        <w:ind w:left="720" w:right="0"/>
      </w:pPr>
      <w:r>
        <w:rPr>
          <w:rStyle w:val="font_h2"/>
        </w:rPr>
        <w:t xml:space="preserve">9.2.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2026-04-17T10:12:12+02:00</dcterms:created>
  <dcterms:modified xsi:type="dcterms:W3CDTF">2026-04-17T10:12:12+02:00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