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collé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Revetement</w:t>
      </w:r>
    </w:p>
    <w:p>
      <w:pPr>
        <w:ind w:left="720" w:right="0"/>
      </w:pPr>
      <w:r>
        <w:rPr>
          <w:rStyle w:val="font_h2"/>
        </w:rPr>
        <w:t xml:space="preserve">3.2. Accessoires</w:t>
      </w:r>
    </w:p>
    <w:p>
      <w:pPr>
        <w:ind w:left="720" w:right="0"/>
      </w:pPr>
      <w:r>
        <w:rPr>
          <w:rStyle w:val="font_h2"/>
        </w:rPr>
        <w:t xml:space="preserve">3.3. Pare-vapeur</w:t>
      </w:r>
    </w:p>
    <w:p>
      <w:pPr/>
      <w:r>
        <w:rPr/>
        <w:t xml:space="preserve">Validé par le Groupe Spécialisé le 10/01/2021</w:t>
      </w:r>
    </w:p>
    <w:p>
      <w:pPr/>
      <w:r>
        <w:rPr>
          <w:b/>
          <w:bCs/>
        </w:rPr>
        <w:t xml:space="preserve">Description</w:t>
      </w:r>
    </w:p>
    <w:p>
      <w:pPr/>
      <w:r>
        <w:rPr/>
        <w:t xml:space="preserve">L’emploi des pare-vapeur polyéthylène est limité uniquement sur éléments porteurs en maçonnerie dans la cadre des Avis Techniques des familles de revêtements en PVC-P.</w:t>
      </w:r>
    </w:p>
    <w:p>
      <w:pPr/>
      <w:r>
        <w:rPr>
          <w:rStyle w:val="font_h1"/>
        </w:rPr>
        <w:t xml:space="preserve">4. Fabrication et contrôles</w:t>
      </w:r>
    </w:p>
    <w:p>
      <w:pPr>
        <w:ind w:left="720" w:right="0"/>
      </w:pPr>
      <w:r>
        <w:rPr>
          <w:rStyle w:val="font_h2"/>
        </w:rPr>
        <w:t xml:space="preserve">4.1. contrôles particuliers</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18/09/2017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2025-10-14T01:59:21+02:00</dcterms:created>
  <dcterms:modified xsi:type="dcterms:W3CDTF">2025-10-14T01:59:21+02:00</dcterms:modified>
</cp:coreProperties>
</file>

<file path=docProps/custom.xml><?xml version="1.0" encoding="utf-8"?>
<Properties xmlns="http://schemas.openxmlformats.org/officeDocument/2006/custom-properties" xmlns:vt="http://schemas.openxmlformats.org/officeDocument/2006/docPropsVTypes"/>
</file>