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collé en monocouche à base de membrane PVC-P</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Revetement</w:t>
      </w:r>
    </w:p>
    <w:p>
      <w:pPr>
        <w:ind w:left="720" w:right="0"/>
      </w:pPr>
      <w:r>
        <w:rPr>
          <w:rStyle w:val="font_h2"/>
        </w:rPr>
        <w:t xml:space="preserve">3.2. Accessoires</w:t>
      </w:r>
    </w:p>
    <w:p>
      <w:pPr>
        <w:ind w:left="720" w:right="0"/>
      </w:pPr>
      <w:r>
        <w:rPr>
          <w:rStyle w:val="font_h2"/>
        </w:rPr>
        <w:t xml:space="preserve">3.3. Pare-vapeur</w:t>
      </w:r>
    </w:p>
    <w:p>
      <w:pPr/>
      <w:r>
        <w:rPr/>
        <w:t xml:space="preserve">Validé par le Groupe Spécialisé le 10/01/2021</w:t>
      </w:r>
    </w:p>
    <w:p>
      <w:pPr/>
      <w:r>
        <w:rPr>
          <w:b/>
          <w:bCs/>
        </w:rPr>
        <w:t xml:space="preserve">Description</w:t>
      </w:r>
    </w:p>
    <w:p>
      <w:pPr/>
      <w:r>
        <w:rPr/>
        <w:t xml:space="preserve">L’emploi des pare-vapeur polyéthylène est limité uniquement sur éléments porteurs en maçonnerie dans la cadre des Avis Techniques des familles de revêtements en PVC-P.</w:t>
      </w:r>
    </w:p>
    <w:p>
      <w:pPr/>
      <w:r>
        <w:rPr>
          <w:rStyle w:val="font_h1"/>
        </w:rPr>
        <w:t xml:space="preserve">4. Fabrication et contrôles</w:t>
      </w:r>
    </w:p>
    <w:p>
      <w:pPr>
        <w:ind w:left="720" w:right="0"/>
      </w:pPr>
      <w:r>
        <w:rPr>
          <w:rStyle w:val="font_h2"/>
        </w:rPr>
        <w:t xml:space="preserve">4.1. contrôles particuliers</w:t>
      </w:r>
    </w:p>
    <w:p>
      <w:pPr/>
      <w:r>
        <w:rPr/>
        <w:t xml:space="preserve">Validé par le Groupe Spécialisé le 13/09/2021</w:t>
      </w:r>
    </w:p>
    <w:p>
      <w:pPr/>
      <w:r>
        <w:rPr>
          <w:b/>
          <w:bCs/>
        </w:rPr>
        <w:t xml:space="preserve">Description</w:t>
      </w:r>
    </w:p>
    <w:p>
      <w:pPr/>
      <w:r>
        <w:rPr/>
        <w:t xml:space="preserve">Un rapport d’essai et un suivi de la valeur μ des membranes PVC-P sont nécessaires pour faire apparaitre cette valeur dans les DTA des produits concernés.</w:t>
      </w:r>
    </w:p>
    <w:p>
      <w:pPr/>
      <w:r>
        <w:rPr>
          <w:b/>
          <w:bCs/>
        </w:rPr>
        <w:t xml:space="preserve">Critères d'évaluation</w:t>
      </w:r>
    </w:p>
    <w:p>
      <w:pPr/>
      <w:r>
        <w:rPr/>
        <w:t xml:space="preserve">Un rapport d’essai et un suivi de la valeur μ des membranes PVC-P sont nécessaires pour faire apparaitre cette valeur dans les DTA des produits concernés.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Broof</w:t>
      </w:r>
    </w:p>
    <w:p>
      <w:pPr/>
      <w:r>
        <w:rPr/>
        <w:t xml:space="preserve">Validé par le Groupe Spécialisé le 18/09/2017</w:t>
      </w:r>
    </w:p>
    <w:p>
      <w:pPr/>
      <w:r>
        <w:rPr>
          <w:b/>
          <w:bCs/>
        </w:rPr>
        <w:t xml:space="preserve">Description</w:t>
      </w:r>
    </w:p>
    <w:p>
      <w:pPr/>
      <w:r>
        <w:rPr/>
        <w:t xml:space="preserve">La référence à un classement Broof (t3) doit être renseignée au paragraphe B- Résultats expérimentaux du Dossier Technique. Le numéro de procès verbal, la date et le nom du laboratoire seront indiqués.</w:t>
      </w:r>
    </w:p>
    <w:p>
      <w:pPr/>
      <w:r>
        <w:rPr>
          <w:b/>
          <w:bCs/>
        </w:rPr>
        <w:t xml:space="preserve">Justification</w:t>
      </w:r>
    </w:p>
    <w:p>
      <w:pPr/>
      <w:r>
        <w:rPr/>
        <w:t xml:space="preserve">Procès verbal de classement au feu.</w:t>
      </w:r>
    </w:p>
    <w:p>
      <w:pPr>
        <w:ind w:left="720" w:right="0"/>
      </w:pPr>
      <w:r>
        <w:rPr>
          <w:rStyle w:val="font_h2"/>
        </w:rPr>
        <w:t xml:space="preserve">9.2.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2026-08-31T07:18:39+02:00</dcterms:created>
  <dcterms:modified xsi:type="dcterms:W3CDTF">2026-08-31T07:18:39+02:00</dcterms:modified>
</cp:coreProperties>
</file>

<file path=docProps/custom.xml><?xml version="1.0" encoding="utf-8"?>
<Properties xmlns="http://schemas.openxmlformats.org/officeDocument/2006/custom-properties" xmlns:vt="http://schemas.openxmlformats.org/officeDocument/2006/docPropsVTypes"/>
</file>