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5.2 -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5.2 « Produits et procédés d'étanchéité de toitures-terrasses, de parois enterrées et cuvelage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Revêtement d'étanchéité de toitures fixé mécaniquement en monocouche à base de membrane FPO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Généralités</w:t>
      </w:r>
    </w:p>
    <w:p>
      <w:pPr/>
      <w:r>
        <w:rPr>
          <w:rStyle w:val="font_h1"/>
        </w:rPr>
        <w:t xml:space="preserve">3. Matériaux</w:t>
      </w:r>
    </w:p>
    <w:p>
      <w:pPr/>
      <w:r>
        <w:rPr>
          <w:rStyle w:val="font_h1"/>
        </w:rPr>
        <w:t xml:space="preserve">4. Fabrication et contrôle</w:t>
      </w:r>
    </w:p>
    <w:p>
      <w:pPr/>
      <w:r>
        <w:rPr>
          <w:rStyle w:val="font_h1"/>
        </w:rPr>
        <w:t xml:space="preserve">5. Mise en oeuvre</w:t>
      </w:r>
    </w:p>
    <w:p>
      <w:pPr/>
      <w:r>
        <w:rPr>
          <w:rStyle w:val="font_h1"/>
        </w:rPr>
        <w:t xml:space="preserve">6. Assistance technique</w:t>
      </w:r>
    </w:p>
    <w:p>
      <w:pPr/>
      <w:r>
        <w:rPr>
          <w:rStyle w:val="font_h1"/>
        </w:rPr>
        <w:t xml:space="preserve">7. Entretien et réparation</w:t>
      </w:r>
    </w:p>
    <w:p>
      <w:pPr/>
      <w:r>
        <w:rPr>
          <w:rStyle w:val="font_h1"/>
        </w:rPr>
        <w:t xml:space="preserve">8. Références</w:t>
      </w:r>
    </w:p>
    <w:p>
      <w:pPr/>
      <w:r>
        <w:rPr>
          <w:rStyle w:val="font_h1"/>
        </w:rPr>
        <w:t xml:space="preserve">9. Résultats expérimentaux</w:t>
      </w:r>
    </w:p>
    <w:p>
      <w:pPr>
        <w:ind w:left="720" w:right="0"/>
      </w:pPr>
      <w:r>
        <w:rPr>
          <w:rStyle w:val="font_h2"/>
        </w:rPr>
        <w:t xml:space="preserve">9.1. Historique</w:t>
      </w:r>
    </w:p>
    <w:p>
      <w:pPr/>
      <w:r>
        <w:rPr/>
        <w:t xml:space="preserve">Validé par le Groupe Spécialisé le 11/10/2021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L’historique des rapports d’essais réalisés devra être conservé au paragraphe « Résultats expérimentaux ».</w:t>
      </w:r>
    </w:p>
    <w:p>
      <w:pPr>
        <w:ind w:left="720" w:right="0"/>
      </w:pPr>
      <w:r>
        <w:rPr>
          <w:rStyle w:val="font_h2"/>
        </w:rPr>
        <w:t xml:space="preserve">9.2. Broof</w:t>
      </w:r>
    </w:p>
    <w:p>
      <w:pPr/>
      <w:r>
        <w:rPr>
          <w:rStyle w:val="font_h1"/>
        </w:rPr>
        <w:t xml:space="preserve">10. Tableaux et figures</w:t>
      </w:r>
    </w:p>
    <w:p>
      <w:pPr>
        <w:ind w:left="720" w:right="0"/>
      </w:pPr>
      <w:r>
        <w:rPr>
          <w:rStyle w:val="font_h2"/>
        </w:rPr>
        <w:t xml:space="preserve">10.1. Figures</w:t>
      </w:r>
    </w:p>
    <w:p>
      <w:pPr/>
      <w:r>
        <w:rPr/>
        <w:t xml:space="preserve">Validé par le Groupe Spécialisé le 14/03/2021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schémas et figures présentés dans les dossiers technique dervont être réalisés avec un logiciel approprié pour le dessin technique du bâtiment ou industriel.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2026-10-16T02:38:36+02:00</dcterms:created>
  <dcterms:modified xsi:type="dcterms:W3CDTF">2026-10-16T02:38:36+02:00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