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Elément porteur en panneau à base de bois pour toitures avec complexe d'étanchéité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ind w:left="720" w:right="0"/>
      </w:pPr>
      <w:r>
        <w:rPr>
          <w:rStyle w:val="font_h2"/>
        </w:rPr>
        <w:t xml:space="preserve">5.1. Détermination des charges de calcul</w:t>
      </w:r>
    </w:p>
    <w:p>
      <w:pPr>
        <w:ind w:left="720" w:right="0"/>
      </w:pPr>
      <w:r>
        <w:rPr>
          <w:rStyle w:val="font_h2"/>
        </w:rPr>
        <w:t xml:space="preserve">5.2. Fixation à la charpente</w:t>
      </w:r>
    </w:p>
    <w:p>
      <w:pPr>
        <w:ind w:left="720" w:right="0"/>
      </w:pPr>
      <w:r>
        <w:rPr>
          <w:rStyle w:val="font_h2"/>
        </w:rPr>
        <w:t xml:space="preserve">5.3. Mise en œuvre du système d'étanchéité</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2026-06-01T12:51:53+02:00</dcterms:created>
  <dcterms:modified xsi:type="dcterms:W3CDTF">2026-06-01T12:51:53+02:00</dcterms:modified>
</cp:coreProperties>
</file>

<file path=docProps/custom.xml><?xml version="1.0" encoding="utf-8"?>
<Properties xmlns="http://schemas.openxmlformats.org/officeDocument/2006/custom-properties" xmlns:vt="http://schemas.openxmlformats.org/officeDocument/2006/docPropsVTypes"/>
</file>