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parementé bitume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w:t>
      </w:r>
    </w:p>
    <w:p>
      <w:pPr/>
      <w:r>
        <w:rPr/>
        <w:t xml:space="preserve">Masse volumique selon NF EN 1602 (indiquer les différentes masses dans le cas de panneaux multicouches) ;Longueur et largeur selon NF EN 822 ;Épaisseur selon EN 823 ;Équerrage selon EN 824 ;Contrainte de compression à 10% selon NF EN 826 ;Contrainte de compression à 10% après immersion selon le Guide UEAtc pour l'agrément des systèmes isolants supports d'étanchéité des toitures plates et inclinées (e-cahier 2662_V2 de Juillet 2010) ;Contrainte de rupture en traction perpendiculaire aux faces selon EN 1607 ;Contrainte de rupture en traction perpendiculaire aux faces après immersion et après traitement d'humidification selon le Guide UEAtc pour l'agrément des systèmes isolants supports d'étanchéité des toitures plates et inclinées (e-cahier 2662_V2 de Juillet 2010) ;Tassement sous charge répartie (essai de classe) selon le Guide UEAtc pour l'agrément des systèmes isolants supports d'étanchéité des toitures plates et inclinées (e-cahier 2662_V2 de Juillet 2010) ;Classement de réaction au feu ;Résistance thermique utile (tableau représentant les valeurs sur toute la gamme d'épaisseur) ;Conductivité thermique utile ;Absorption d'eau à court terme selon EN 1609 ;Absorption d'eau à long terme selon EN 12087</w:t>
      </w:r>
    </w:p>
    <w:p>
      <w:pPr/>
      <w:r>
        <w:rPr>
          <w:b/>
          <w:bCs/>
        </w:rPr>
        <w:t xml:space="preserve">Justification</w:t>
      </w:r>
    </w:p>
    <w:p>
      <w:pPr/>
      <w:r>
        <w:rPr/>
        <w:t xml:space="preserve">Certificats</w:t>
      </w:r>
    </w:p>
    <w:p>
      <w:pPr/>
      <w:r>
        <w:rPr/>
        <w:t xml:space="preserve">Certificat de conformité CE et Déclaration de Performances conformément à la norme NF EN 13162 en cours de validité ;Certificat ACERMI ou équivalent en cours de validité ;Rapports d'essai</w:t>
      </w:r>
    </w:p>
    <w:p>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sous sollicitations mécaniques</w:t>
      </w:r>
    </w:p>
    <w:p>
      <w:pPr>
        <w:ind w:left="2160" w:right="0"/>
      </w:pPr>
      <w:r>
        <w:rPr>
          <w:rStyle w:val="font_h3"/>
        </w:rPr>
        <w:t xml:space="preserve">2.4.2.1.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0"/>
        </w:numPr>
      </w:pPr>
      <w:r>
        <w:rPr/>
        <w:t xml:space="preserve">1 lit : épaisseur minimale et maximale ;</w:t>
      </w:r>
    </w:p>
    <w:p>
      <w:pPr>
        <w:pPr/>
        <w:numPr>
          <w:ilvl w:val="0"/>
          <w:numId w:val="10"/>
        </w:numPr>
      </w:pPr>
      <w:r>
        <w:rPr/>
        <w:t xml:space="preserve">2 lits : épaisseur maxi (si revendiqué).</w:t>
      </w:r>
    </w:p>
    <w:p>
      <w:pPr/>
      <w:r>
        <w:rPr>
          <w:b/>
          <w:bCs/>
        </w:rPr>
        <w:t xml:space="preserve">Critères d'évaluation</w:t>
      </w:r>
    </w:p>
    <w:p>
      <w:pPr>
        <w:pPr/>
        <w:numPr>
          <w:ilvl w:val="0"/>
          <w:numId w:val="11"/>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2.4.2.2.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2"/>
        </w:numPr>
      </w:pPr>
      <w:r>
        <w:rPr/>
        <w:t xml:space="preserve">1 lit : épaisseur maximale ;</w:t>
      </w:r>
    </w:p>
    <w:p>
      <w:pPr>
        <w:pPr/>
        <w:numPr>
          <w:ilvl w:val="0"/>
          <w:numId w:val="12"/>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2.4.2.3. Essai porte à faux</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3"/>
        </w:numPr>
      </w:pPr>
      <w:r>
        <w:rPr/>
        <w:t xml:space="preserve">Charge de ruine supérieure à 700 N  -  Déformation résiduelle inférieure à 1 mm après charge de 700 N</w:t>
      </w:r>
    </w:p>
    <w:p>
      <w:pPr>
        <w:ind w:left="2160" w:right="0"/>
      </w:pPr>
      <w:r>
        <w:rPr>
          <w:rStyle w:val="font_h3"/>
        </w:rPr>
        <w:t xml:space="preserve">2.4.2.4. Essai porte à faux (Ohn  70mm)</w:t>
      </w:r>
    </w:p>
    <w:p>
      <w:pPr/>
      <w:r>
        <w:rPr/>
        <w:t xml:space="preserve">Validé par le Groupe Spécialisé le 12/03/2018</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4"/>
        </w:numPr>
      </w:pPr>
      <w:r>
        <w:rPr/>
        <w:t xml:space="preserve">Déformation résiduelle d’au plus 0,5 mm, après déchargement, sous la charge de 1000N  -  Charge de ruine d’au moins 1 700 N</w:t>
      </w:r>
    </w:p>
    <w:p>
      <w:pPr>
        <w:ind w:left="2160" w:right="0"/>
      </w:pPr>
      <w:r>
        <w:rPr>
          <w:rStyle w:val="font_h3"/>
        </w:rPr>
        <w:t xml:space="preserve">2.4.2.5. Essai sous charges concentrées à mi-point d'une portée libre</w:t>
      </w:r>
    </w:p>
    <w:p>
      <w:pPr/>
      <w:r>
        <w:rPr/>
        <w:t xml:space="preserve">Validé par le Groupe Spécialisé le 12/03/2018</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1440" w:right="0"/>
      </w:pPr>
      <w:r>
        <w:rPr>
          <w:rStyle w:val="font_h3"/>
        </w:rPr>
        <w:t xml:space="preserve">2.4.3. Comportement à l'eau</w:t>
      </w:r>
    </w:p>
    <w:p>
      <w:pPr>
        <w:ind w:left="2160" w:right="0"/>
      </w:pPr>
      <w:r>
        <w:rPr>
          <w:rStyle w:val="font_h3"/>
        </w:rPr>
        <w:t xml:space="preserve">2.4.3.1. Essai de compression après immersion</w:t>
      </w:r>
    </w:p>
    <w:p>
      <w:pPr/>
      <w:r>
        <w:rPr/>
        <w:t xml:space="preserve">Validé par le Groupe Spécialisé le 12/03/2018</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2.4.3.2. Essai de traction perpendiculaire aux faces après immersion</w:t>
      </w:r>
    </w:p>
    <w:p>
      <w:pPr/>
      <w:r>
        <w:rPr/>
        <w:t xml:space="preserve">Validé par le Groupe Spécialisé le 12/03/2018</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2.4.3.3. Essai de traction perpendiculaire aux faces après traitement d'humidification</w:t>
      </w:r>
    </w:p>
    <w:p>
      <w:pPr/>
      <w:r>
        <w:rPr/>
        <w:t xml:space="preserve">Validé par le Groupe Spécialisé le 12/03/2018</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2.4.4. Compatibilité de colle</w:t>
      </w:r>
    </w:p>
    <w:p>
      <w:pPr/>
      <w:r>
        <w:rPr/>
        <w:t xml:space="preserve">Validé par le Groupe Spécialisé le 12/03/2018</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1440" w:right="0"/>
      </w:pPr>
      <w:r>
        <w:rPr>
          <w:rStyle w:val="font_h3"/>
        </w:rPr>
        <w:t xml:space="preserve">2.4.5. Particularité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720" w:right="0"/>
      </w:pPr>
      <w:r>
        <w:rPr>
          <w:rStyle w:val="font_h2"/>
        </w:rPr>
        <w:t xml:space="preserve">2.5. Matériaux pour écran pare-vapeur</w:t>
      </w:r>
    </w:p>
    <w:p>
      <w:pPr/>
      <w:r>
        <w:rPr/>
        <w:t xml:space="preserve">Validé par le Groupe Spécialisé le 12/03/2018</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12/03/2018</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5"/>
        </w:numPr>
      </w:pPr>
      <w:r>
        <w:rPr/>
        <w:t xml:space="preserve">Type de fixation : métallique ou à rupture de ponts thermiques (nature du plastique) ;</w:t>
      </w:r>
    </w:p>
    <w:p>
      <w:pPr>
        <w:pPr/>
        <w:numPr>
          <w:ilvl w:val="0"/>
          <w:numId w:val="15"/>
        </w:numPr>
      </w:pPr>
      <w:r>
        <w:rPr/>
        <w:t xml:space="preserve">Plaquette : matériau, diamètre, épaisseur ; </w:t>
      </w:r>
    </w:p>
    <w:p>
      <w:pPr>
        <w:pPr/>
        <w:numPr>
          <w:ilvl w:val="0"/>
          <w:numId w:val="15"/>
        </w:numPr>
      </w:pPr>
      <w:r>
        <w:rPr/>
        <w:t xml:space="preserve">Elément de liaison : type (rivet, vis, clou à friction, cheville, etc.) et diamètre ;</w:t>
      </w:r>
    </w:p>
    <w:p>
      <w:pPr>
        <w:pPr/>
        <w:numPr>
          <w:ilvl w:val="0"/>
          <w:numId w:val="15"/>
        </w:numPr>
      </w:pPr>
      <w:r>
        <w:rPr/>
        <w:t xml:space="preserve">Valeur de la résistance à l'arrachement de l'attelage selon NF P 30-310 ou 313; </w:t>
      </w:r>
    </w:p>
    <w:p>
      <w:pPr>
        <w:pPr/>
        <w:numPr>
          <w:ilvl w:val="0"/>
          <w:numId w:val="15"/>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6"/>
        </w:numPr>
      </w:pPr>
      <w:r>
        <w:rPr/>
        <w:t xml:space="preserve">Longueur et largeur ;</w:t>
      </w:r>
    </w:p>
    <w:p>
      <w:pPr>
        <w:pPr/>
        <w:numPr>
          <w:ilvl w:val="0"/>
          <w:numId w:val="16"/>
        </w:numPr>
      </w:pPr>
      <w:r>
        <w:rPr/>
        <w:t xml:space="preserve">Planéité ;</w:t>
      </w:r>
    </w:p>
    <w:p>
      <w:pPr>
        <w:pPr/>
        <w:numPr>
          <w:ilvl w:val="0"/>
          <w:numId w:val="16"/>
        </w:numPr>
      </w:pPr>
      <w:r>
        <w:rPr/>
        <w:t xml:space="preserve">Équerrage ;</w:t>
      </w:r>
    </w:p>
    <w:p>
      <w:pPr>
        <w:pPr/>
        <w:numPr>
          <w:ilvl w:val="0"/>
          <w:numId w:val="16"/>
        </w:numPr>
      </w:pPr>
      <w:r>
        <w:rPr/>
        <w:t xml:space="preserve">Masse volumique ;</w:t>
      </w:r>
    </w:p>
    <w:p>
      <w:pPr>
        <w:pPr/>
        <w:numPr>
          <w:ilvl w:val="0"/>
          <w:numId w:val="16"/>
        </w:numPr>
      </w:pPr>
      <w:r>
        <w:rPr/>
        <w:t xml:space="preserve">Compression.</w:t>
      </w:r>
    </w:p>
    <w:p>
      <w:pPr/>
      <w:r>
        <w:rPr>
          <w:b/>
          <w:bCs/>
        </w:rPr>
        <w:t xml:space="preserve">Critères d'évaluation</w:t>
      </w:r>
    </w:p>
    <w:p>
      <w:pPr>
        <w:pPr/>
        <w:numPr>
          <w:ilvl w:val="0"/>
          <w:numId w:val="17"/>
        </w:numPr>
      </w:pPr>
      <w:r>
        <w:rPr/>
        <w:t xml:space="preserve">Cas de plusieurs sites de fabrication : comparaison des autocontrôles.</w:t>
      </w:r>
    </w:p>
    <w:p>
      <w:pPr>
        <w:pPr/>
        <w:numPr>
          <w:ilvl w:val="0"/>
          <w:numId w:val="17"/>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12/03/2018</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12/03/2018</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18"/>
        </w:numPr>
      </w:pPr>
      <w:r>
        <w:rPr/>
        <w:t xml:space="preserve">pour chaque type d'élément porteur ;</w:t>
      </w:r>
    </w:p>
    <w:p>
      <w:pPr>
        <w:pPr/>
        <w:numPr>
          <w:ilvl w:val="0"/>
          <w:numId w:val="18"/>
        </w:numPr>
      </w:pPr>
      <w:r>
        <w:rPr/>
        <w:t xml:space="preserve">pour les toitures courbes ;</w:t>
      </w:r>
    </w:p>
    <w:p>
      <w:pPr>
        <w:pPr/>
        <w:numPr>
          <w:ilvl w:val="0"/>
          <w:numId w:val="18"/>
        </w:numPr>
      </w:pPr>
      <w:r>
        <w:rPr/>
        <w:t xml:space="preserve">cas du climat de montagne ;</w:t>
      </w:r>
    </w:p>
    <w:p>
      <w:pPr>
        <w:pPr/>
        <w:numPr>
          <w:ilvl w:val="0"/>
          <w:numId w:val="18"/>
        </w:numPr>
      </w:pPr>
      <w:r>
        <w:rPr/>
        <w:t xml:space="preserve">cas des locaux à forte voire très forte hygrométrie ;</w:t>
      </w:r>
    </w:p>
    <w:p>
      <w:pPr>
        <w:pPr/>
        <w:numPr>
          <w:ilvl w:val="0"/>
          <w:numId w:val="18"/>
        </w:numPr>
      </w:pPr>
      <w:r>
        <w:rPr/>
        <w:t xml:space="preserve">cas des départements et régions d'outre-mer (DROM).</w:t>
      </w:r>
    </w:p>
    <w:p>
      <w:pPr/>
      <w:r>
        <w:rPr>
          <w:b/>
          <w:bCs/>
        </w:rPr>
        <w:t xml:space="preserve">Illustration</w:t>
      </w:r>
    </w:p>
    <w:p>
      <w:pPr>
        <w:pPr/>
        <w:numPr>
          <w:ilvl w:val="0"/>
          <w:numId w:val="19"/>
        </w:numPr>
      </w:pPr>
      <w:r>
        <w:rPr/>
        <w:t xml:space="preserve">Schémas de principe de pose pour les types de pose visées (pose en quiconce, pose en plusieurs lits, points singuliers, position des fixations sur le panneau, etc.) ;</w:t>
      </w:r>
    </w:p>
    <w:p>
      <w:pPr>
        <w:pPr/>
        <w:numPr>
          <w:ilvl w:val="0"/>
          <w:numId w:val="19"/>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12/03/2018</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l'applicateur ; </w:t>
      </w:r>
    </w:p>
    <w:p>
      <w:pPr>
        <w:pPr/>
        <w:numPr>
          <w:ilvl w:val="0"/>
          <w:numId w:val="20"/>
        </w:numPr>
      </w:pPr>
      <w:r>
        <w:rPr/>
        <w:t xml:space="preserve">Coordonnées du contrôleur technique ;</w:t>
      </w:r>
    </w:p>
    <w:p>
      <w:pPr>
        <w:pPr/>
        <w:numPr>
          <w:ilvl w:val="0"/>
          <w:numId w:val="20"/>
        </w:numPr>
      </w:pPr>
      <w:r>
        <w:rPr/>
        <w:t xml:space="preserve">Coordonnées maître d'ouvrage ;</w:t>
      </w:r>
    </w:p>
    <w:p>
      <w:pPr>
        <w:pPr/>
        <w:numPr>
          <w:ilvl w:val="0"/>
          <w:numId w:val="20"/>
        </w:numPr>
      </w:pPr>
      <w:r>
        <w:rPr/>
        <w:t xml:space="preserve">Date de réalisation ;</w:t>
      </w:r>
    </w:p>
    <w:p>
      <w:pPr>
        <w:pPr/>
        <w:numPr>
          <w:ilvl w:val="0"/>
          <w:numId w:val="20"/>
        </w:numPr>
      </w:pPr>
      <w:r>
        <w:rPr/>
        <w:t xml:space="preserve">Zone géographique (France européenne/DROM, climat de plaine/montagne) ;</w:t>
      </w:r>
    </w:p>
    <w:p>
      <w:pPr>
        <w:pPr/>
        <w:numPr>
          <w:ilvl w:val="0"/>
          <w:numId w:val="20"/>
        </w:numPr>
      </w:pPr>
      <w:r>
        <w:rPr/>
        <w:t xml:space="preserve">Type de bâtiment / élément porteur ; </w:t>
      </w:r>
    </w:p>
    <w:p>
      <w:pPr>
        <w:pPr/>
        <w:numPr>
          <w:ilvl w:val="0"/>
          <w:numId w:val="20"/>
        </w:numPr>
      </w:pPr>
      <w:r>
        <w:rPr/>
        <w:t xml:space="preserve">Type de travaux ; </w:t>
      </w:r>
    </w:p>
    <w:p>
      <w:pPr>
        <w:pPr/>
        <w:numPr>
          <w:ilvl w:val="0"/>
          <w:numId w:val="20"/>
        </w:numPr>
      </w:pPr>
      <w:r>
        <w:rPr/>
        <w:t xml:space="preserve">Surface toiture ; </w:t>
      </w:r>
    </w:p>
    <w:p>
      <w:pPr>
        <w:pPr/>
        <w:numPr>
          <w:ilvl w:val="0"/>
          <w:numId w:val="20"/>
        </w:numPr>
      </w:pPr>
      <w:r>
        <w:rPr/>
        <w:t xml:space="preserve">Type de protection ; </w:t>
      </w:r>
    </w:p>
    <w:p>
      <w:pPr>
        <w:pPr/>
        <w:numPr>
          <w:ilvl w:val="0"/>
          <w:numId w:val="20"/>
        </w:numPr>
      </w:pPr>
      <w:r>
        <w:rPr/>
        <w:t xml:space="preserve">Type de pose ; </w:t>
      </w:r>
    </w:p>
    <w:p>
      <w:pPr>
        <w:pPr/>
        <w:numPr>
          <w:ilvl w:val="0"/>
          <w:numId w:val="20"/>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12/03/2018</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experimentaux</w:t>
      </w:r>
    </w:p>
    <w:p>
      <w:pPr>
        <w:ind w:left="720" w:right="0"/>
      </w:pPr>
      <w:r>
        <w:rPr>
          <w:rStyle w:val="font_h2"/>
        </w:rPr>
        <w:t xml:space="preserve">8.1. Historique</w:t>
      </w:r>
    </w:p>
    <w:p>
      <w:pPr/>
      <w:r>
        <w:rPr/>
        <w:t xml:space="preserve">Validé par le Groupe Spécialisé le 11/05/2021</w:t>
      </w:r>
    </w:p>
    <w:p>
      <w:pPr/>
      <w:r>
        <w:rPr>
          <w:b/>
          <w:bCs/>
        </w:rPr>
        <w:t xml:space="preserve">Description</w:t>
      </w:r>
    </w:p>
    <w:p>
      <w:pPr/>
      <w:r>
        <w:rPr/>
        <w:t xml:space="preserve">L’historique des rapports d’essais réalisés devra être conservé au paragraphe « Résultats expérimentaux ».</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888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B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F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BD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2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D2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95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E2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03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D5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E0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70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2026-07-05T01:38:02+02:00</dcterms:created>
  <dcterms:modified xsi:type="dcterms:W3CDTF">2026-07-05T01:38:02+02:00</dcterms:modified>
</cp:coreProperties>
</file>

<file path=docProps/custom.xml><?xml version="1.0" encoding="utf-8"?>
<Properties xmlns="http://schemas.openxmlformats.org/officeDocument/2006/custom-properties" xmlns:vt="http://schemas.openxmlformats.org/officeDocument/2006/docPropsVTypes"/>
</file>