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17/07/2026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Panneau en laine de roche (MWR) nue non porteur support d’étanchéité</w:t>
      </w:r>
    </w:p>
    <w:p>
      <w:pPr/>
      <w:r>
        <w:rPr>
          <w:rStyle w:val="font_h1"/>
        </w:rPr>
        <w:t xml:space="preserve">1. Principe et domaine d'emploi</w:t>
      </w:r>
    </w:p>
    <w:p>
      <w:pPr>
        <w:ind w:left="720" w:right="0"/>
      </w:pPr>
      <w:r>
        <w:rPr>
          <w:rStyle w:val="font_h2"/>
        </w:rPr>
        <w:t xml:space="preserve">1.1. Description succincte du procédé</w:t>
      </w:r>
    </w:p>
    <w:p>
      <w:pPr/>
      <w:r>
        <w:rPr/>
        <w:t xml:space="preserve">Validé par le Groupe Spécialisé le 27/03/2017</w:t>
      </w:r>
    </w:p>
    <w:p>
      <w:pPr/>
      <w:r>
        <w:rPr>
          <w:b/>
          <w:bCs/>
        </w:rPr>
        <w:t xml:space="preserve">Description</w:t>
      </w:r>
    </w:p>
    <w:p>
      <w:pPr/>
      <w:r>
        <w:rPr/>
        <w:t xml:space="preserve">Description du procédé (principe, matériaux)</w:t>
      </w:r>
    </w:p>
    <w:p>
      <w:pPr>
        <w:ind w:left="720" w:right="0"/>
      </w:pPr>
      <w:r>
        <w:rPr>
          <w:rStyle w:val="font_h2"/>
        </w:rPr>
        <w:t xml:space="preserve">1.2. Domaine d'emploi</w:t>
      </w:r>
    </w:p>
    <w:p>
      <w:pPr/>
      <w:r>
        <w:rPr/>
        <w:t xml:space="preserve">Validé par le Groupe Spécialisé le 27/03/2017</w:t>
      </w:r>
    </w:p>
    <w:p>
      <w:pPr/>
      <w:r>
        <w:rPr>
          <w:b/>
          <w:bCs/>
        </w:rPr>
        <w:t xml:space="preserve">Description</w:t>
      </w:r>
    </w:p>
    <w:p>
      <w:pPr/>
      <w:r>
        <w:rPr/>
        <w:t xml:space="preserve">Précision du domaine d'emploi :</w:t>
      </w:r>
    </w:p>
    <w:p>
      <w:pPr>
        <w:pPr/>
        <w:numPr>
          <w:ilvl w:val="0"/>
          <w:numId w:val="9"/>
        </w:numPr>
      </w:pPr>
      <w:r>
        <w:rPr/>
        <w:t xml:space="preserve">Élément(s) porteur(s) ;</w:t>
      </w:r>
    </w:p>
    <w:p>
      <w:pPr>
        <w:pPr/>
        <w:numPr>
          <w:ilvl w:val="0"/>
          <w:numId w:val="9"/>
        </w:numPr>
      </w:pPr>
      <w:r>
        <w:rPr/>
        <w:t xml:space="preserve">Accessibilité de la toiture ;</w:t>
      </w:r>
    </w:p>
    <w:p>
      <w:pPr>
        <w:pPr/>
        <w:numPr>
          <w:ilvl w:val="0"/>
          <w:numId w:val="9"/>
        </w:numPr>
      </w:pPr>
      <w:r>
        <w:rPr/>
        <w:t xml:space="preserve">Climat ;</w:t>
      </w:r>
    </w:p>
    <w:p>
      <w:pPr>
        <w:pPr/>
        <w:numPr>
          <w:ilvl w:val="0"/>
          <w:numId w:val="9"/>
        </w:numPr>
      </w:pPr>
      <w:r>
        <w:rPr/>
        <w:t xml:space="preserve">Travaux neufs et/ou rénovation ;</w:t>
      </w:r>
    </w:p>
    <w:p>
      <w:pPr>
        <w:pPr/>
        <w:numPr>
          <w:ilvl w:val="0"/>
          <w:numId w:val="9"/>
        </w:numPr>
      </w:pPr>
      <w:r>
        <w:rPr/>
        <w:t xml:space="preserve">Type(s) de pose pour l'isolant ;</w:t>
      </w:r>
    </w:p>
    <w:p>
      <w:pPr>
        <w:pPr/>
        <w:numPr>
          <w:ilvl w:val="0"/>
          <w:numId w:val="9"/>
        </w:numPr>
      </w:pPr>
      <w:r>
        <w:rPr/>
        <w:t xml:space="preserve">Nombre de lit(s) visé(s) ;</w:t>
      </w:r>
    </w:p>
    <w:p>
      <w:pPr>
        <w:pPr/>
        <w:numPr>
          <w:ilvl w:val="0"/>
          <w:numId w:val="9"/>
        </w:numPr>
      </w:pPr>
      <w:r>
        <w:rPr/>
        <w:t xml:space="preserve">Type(s) de pose du revêtement d'étanchéité ;</w:t>
      </w:r>
    </w:p>
    <w:p>
      <w:pPr>
        <w:pPr/>
        <w:numPr>
          <w:ilvl w:val="0"/>
          <w:numId w:val="9"/>
        </w:numPr>
      </w:pPr>
      <w:r>
        <w:rPr/>
        <w:t xml:space="preserve">Revêtement(s) d'étanchéité visé(s).</w:t>
      </w:r>
    </w:p>
    <w:p>
      <w:pPr>
        <w:ind w:left="720" w:right="0"/>
      </w:pPr>
      <w:r>
        <w:rPr>
          <w:rStyle w:val="font_h2"/>
        </w:rPr>
        <w:t xml:space="preserve">1.3. Climat de montagne sur éléments porteurs souples</w:t>
      </w:r>
    </w:p>
    <w:p>
      <w:pPr/>
      <w:r>
        <w:rPr>
          <w:rStyle w:val="font_h1"/>
        </w:rPr>
        <w:t xml:space="preserve">2. Description des produits</w:t>
      </w:r>
    </w:p>
    <w:p>
      <w:pPr>
        <w:ind w:left="720" w:right="0"/>
      </w:pPr>
      <w:r>
        <w:rPr>
          <w:rStyle w:val="font_h2"/>
        </w:rPr>
        <w:t xml:space="preserve">2.1. Désignation commerciale</w:t>
      </w:r>
    </w:p>
    <w:p>
      <w:pPr/>
      <w:r>
        <w:rPr/>
        <w:t xml:space="preserve">Validé par le Groupe Spécialisé le 27/03/2017</w:t>
      </w:r>
    </w:p>
    <w:p>
      <w:pPr/>
      <w:r>
        <w:rPr>
          <w:b/>
          <w:bCs/>
        </w:rPr>
        <w:t xml:space="preserve">Description</w:t>
      </w:r>
    </w:p>
    <w:p>
      <w:pPr/>
      <w:r>
        <w:rPr/>
        <w:t xml:space="preserve">Désignation commerciale</w:t>
      </w:r>
    </w:p>
    <w:p>
      <w:pPr>
        <w:ind w:left="720" w:right="0"/>
      </w:pPr>
      <w:r>
        <w:rPr>
          <w:rStyle w:val="font_h2"/>
        </w:rPr>
        <w:t xml:space="preserve">2.2. Composition du produit</w:t>
      </w:r>
    </w:p>
    <w:p>
      <w:pPr/>
      <w:r>
        <w:rPr/>
        <w:t xml:space="preserve">Validé par le Groupe Spécialisé le 27/03/2017</w:t>
      </w:r>
    </w:p>
    <w:p>
      <w:pPr/>
      <w:r>
        <w:rPr>
          <w:b/>
          <w:bCs/>
        </w:rPr>
        <w:t xml:space="preserve">Description</w:t>
      </w:r>
    </w:p>
    <w:p>
      <w:pPr/>
      <w:r>
        <w:rPr/>
        <w:t xml:space="preserve">Définition des constituants du panneau isolant (matériau isolant, parement).</w:t>
      </w:r>
    </w:p>
    <w:p>
      <w:pPr>
        <w:ind w:left="720" w:right="0"/>
      </w:pPr>
      <w:r>
        <w:rPr>
          <w:rStyle w:val="font_h2"/>
        </w:rPr>
        <w:t xml:space="preserve">2.3. Caractéristiques d'identification du produit</w:t>
      </w:r>
    </w:p>
    <w:p>
      <w:pPr/>
      <w:r>
        <w:rPr/>
        <w:t xml:space="preserve">Validé par le Groupe Spécialisé le 27/03/2017</w:t>
      </w:r>
    </w:p>
    <w:p>
      <w:pPr/>
      <w:r>
        <w:rPr>
          <w:b/>
          <w:bCs/>
        </w:rPr>
        <w:t xml:space="preserve">Description</w:t>
      </w:r>
    </w:p>
    <w:p>
      <w:pPr/>
      <w:r>
        <w:rPr/>
        <w:t xml:space="preserve">Donner les caractéristiques du panneau isolant, les normes d'essais, les référentiels associés ainsi que les tolérances.</w:t>
      </w:r>
    </w:p>
    <w:p>
      <w:pPr/>
      <w:r>
        <w:rPr/>
        <w:t xml:space="preserve">Au minimum, les caractéristiques suivantes doivent apparaître sous forme d'un tableau : </w:t>
      </w:r>
    </w:p>
    <w:p>
      <w:pPr>
        <w:pPr/>
        <w:numPr>
          <w:ilvl w:val="0"/>
          <w:numId w:val="10"/>
        </w:numPr>
      </w:pPr>
      <w:r>
        <w:rPr/>
        <w:t xml:space="preserve">Masse volumique selon NF EN 1602  (indiquer les différentes masses dans le cas de panneaux multicouches) ;</w:t>
      </w:r>
    </w:p>
    <w:p>
      <w:pPr>
        <w:pPr/>
        <w:numPr>
          <w:ilvl w:val="0"/>
          <w:numId w:val="10"/>
        </w:numPr>
      </w:pPr>
      <w:r>
        <w:rPr/>
        <w:t xml:space="preserve">Longueur et largeur selon NF EN 822 ;</w:t>
      </w:r>
    </w:p>
    <w:p>
      <w:pPr>
        <w:pPr/>
        <w:numPr>
          <w:ilvl w:val="0"/>
          <w:numId w:val="10"/>
        </w:numPr>
      </w:pPr>
      <w:r>
        <w:rPr/>
        <w:t xml:space="preserve">Épaisseur selon EN 823 ;</w:t>
      </w:r>
    </w:p>
    <w:p>
      <w:pPr>
        <w:pPr/>
        <w:numPr>
          <w:ilvl w:val="0"/>
          <w:numId w:val="10"/>
        </w:numPr>
      </w:pPr>
      <w:r>
        <w:rPr/>
        <w:t xml:space="preserve">Équerrage selon EN 824 ;</w:t>
      </w:r>
    </w:p>
    <w:p>
      <w:pPr>
        <w:pPr/>
        <w:numPr>
          <w:ilvl w:val="0"/>
          <w:numId w:val="10"/>
        </w:numPr>
      </w:pPr>
      <w:r>
        <w:rPr/>
        <w:t xml:space="preserve">Contrainte de compression à 10% selon NF EN 826 ;</w:t>
      </w:r>
    </w:p>
    <w:p>
      <w:pPr>
        <w:pPr/>
        <w:numPr>
          <w:ilvl w:val="0"/>
          <w:numId w:val="10"/>
        </w:numPr>
      </w:pPr>
      <w:r>
        <w:rPr/>
        <w:t xml:space="preserve">Contrainte de compression à 10% après immersion selon le Guide UEAtc pour l'agrément des systèmes isolants supports d'étanchéité des toitures plates et inclinées (e-cahier 2662_V2 de Juillet 2010) ;</w:t>
      </w:r>
    </w:p>
    <w:p>
      <w:pPr>
        <w:pPr/>
        <w:numPr>
          <w:ilvl w:val="0"/>
          <w:numId w:val="10"/>
        </w:numPr>
      </w:pPr>
      <w:r>
        <w:rPr/>
        <w:t xml:space="preserve">Contrainte de rupture en traction perpendiculaire aux faces selon EN 1607 ;</w:t>
      </w:r>
    </w:p>
    <w:p>
      <w:pPr>
        <w:pPr/>
        <w:numPr>
          <w:ilvl w:val="0"/>
          <w:numId w:val="10"/>
        </w:numPr>
      </w:pPr>
      <w:r>
        <w:rPr/>
        <w:t xml:space="preserve">Contrainte de rupture en traction perpendiculaire aux faces après immersion et après traitement d'humidification selon le Guide UEAtc pour l'agrément des systèmes isolants supports d'étanchéité des toitures plates et inclinées (e-cahier 2662_V2 de Juillet 2010) ;</w:t>
      </w:r>
    </w:p>
    <w:p>
      <w:pPr>
        <w:pPr/>
        <w:numPr>
          <w:ilvl w:val="0"/>
          <w:numId w:val="10"/>
        </w:numPr>
      </w:pPr>
      <w:r>
        <w:rPr/>
        <w:t xml:space="preserve">Tassement sous charge répartie (essai de classe) selon le Guide UEAtc pour l'agrément des systèmes isolants supports d'étanchéité des toitures plates et inclinées (e-cahier 2662_V2 de Juillet 2010)  ;</w:t>
      </w:r>
    </w:p>
    <w:p>
      <w:pPr>
        <w:pPr/>
        <w:numPr>
          <w:ilvl w:val="0"/>
          <w:numId w:val="10"/>
        </w:numPr>
      </w:pPr>
      <w:r>
        <w:rPr/>
        <w:t xml:space="preserve">Classement de réaction au feu ;</w:t>
      </w:r>
    </w:p>
    <w:p>
      <w:pPr>
        <w:pPr/>
        <w:numPr>
          <w:ilvl w:val="0"/>
          <w:numId w:val="10"/>
        </w:numPr>
      </w:pPr>
      <w:r>
        <w:rPr/>
        <w:t xml:space="preserve">Résistance thermique utile (tableau représentant les valeurs sur toute la gamme d'épaisseur) ;</w:t>
      </w:r>
    </w:p>
    <w:p>
      <w:pPr>
        <w:pPr/>
        <w:numPr>
          <w:ilvl w:val="0"/>
          <w:numId w:val="10"/>
        </w:numPr>
      </w:pPr>
      <w:r>
        <w:rPr/>
        <w:t xml:space="preserve">Conductivité thermique utile ;</w:t>
      </w:r>
    </w:p>
    <w:p>
      <w:pPr>
        <w:pPr/>
        <w:numPr>
          <w:ilvl w:val="0"/>
          <w:numId w:val="10"/>
        </w:numPr>
      </w:pPr>
      <w:r>
        <w:rPr/>
        <w:t xml:space="preserve">Absorption d'eau à court terme selon EN 1609 ;</w:t>
      </w:r>
    </w:p>
    <w:p>
      <w:pPr>
        <w:pPr/>
        <w:numPr>
          <w:ilvl w:val="0"/>
          <w:numId w:val="10"/>
        </w:numPr>
      </w:pPr>
      <w:r>
        <w:rPr/>
        <w:t xml:space="preserve">Absorption d'eau à long terme selon EN 12087.</w:t>
      </w:r>
    </w:p>
    <w:p>
      <w:pPr/>
      <w:r>
        <w:rPr>
          <w:b/>
          <w:bCs/>
        </w:rPr>
        <w:t xml:space="preserve">Justification</w:t>
      </w:r>
    </w:p>
    <w:p>
      <w:pPr/>
      <w:r>
        <w:rPr>
          <w:i/>
          <w:iCs/>
        </w:rPr>
        <w:t xml:space="preserve">Certificats</w:t>
      </w:r>
    </w:p>
    <w:p>
      <w:pPr>
        <w:pPr/>
        <w:numPr>
          <w:ilvl w:val="0"/>
          <w:numId w:val="11"/>
        </w:numPr>
      </w:pPr>
      <w:r>
        <w:rPr/>
        <w:t xml:space="preserve">Certificat de conformité CE et Déclaration de Performances conformément à la norme NF EN 13162 en cours de validité ;</w:t>
      </w:r>
    </w:p>
    <w:p>
      <w:pPr>
        <w:pPr/>
        <w:numPr>
          <w:ilvl w:val="0"/>
          <w:numId w:val="11"/>
        </w:numPr>
      </w:pPr>
      <w:r>
        <w:rPr/>
        <w:t xml:space="preserve">Certificat ACERMI ou équivalent en cours de validité ;</w:t>
      </w:r>
    </w:p>
    <w:p>
      <w:pPr/>
      <w:r>
        <w:rPr>
          <w:i/>
          <w:iCs/>
        </w:rPr>
        <w:t xml:space="preserve">Rapports d'essai</w:t>
      </w:r>
    </w:p>
    <w:p>
      <w:pPr>
        <w:pPr/>
        <w:numPr>
          <w:ilvl w:val="0"/>
          <w:numId w:val="12"/>
        </w:numPr>
      </w:pPr>
      <w:r>
        <w:rPr/>
        <w:t xml:space="preserve">Rapport d'essai et de classement de réaction au feu selon EN 13501-1;</w:t>
      </w:r>
    </w:p>
    <w:p>
      <w:pPr/>
      <w:r>
        <w:rPr>
          <w:b/>
          <w:bCs/>
        </w:rPr>
        <w:t xml:space="preserve">Critères d'évaluation</w:t>
      </w:r>
    </w:p>
    <w:p>
      <w:pPr/>
      <w:r>
        <w:rPr/>
        <w:t xml:space="preserve">Cohérence entre les valeurs d'autocontrôles, de la déclaration de performance (DdP) et du certificat ACERMI.</w:t>
      </w:r>
    </w:p>
    <w:p>
      <w:pPr>
        <w:ind w:left="720" w:right="0"/>
      </w:pPr>
      <w:r>
        <w:rPr>
          <w:rStyle w:val="font_h2"/>
        </w:rPr>
        <w:t xml:space="preserve">2.4. Caractéristiques d'aptitude à l'emploi du produit</w:t>
      </w:r>
    </w:p>
    <w:p>
      <w:pPr>
        <w:ind w:left="1440" w:right="0"/>
      </w:pPr>
      <w:r>
        <w:rPr>
          <w:rStyle w:val="font_h3"/>
        </w:rPr>
        <w:t xml:space="preserve">2.4.1. Comportement sous sollicitations mécaniques</w:t>
      </w:r>
    </w:p>
    <w:p>
      <w:pPr>
        <w:ind w:left="2160" w:right="0"/>
      </w:pPr>
      <w:r>
        <w:rPr>
          <w:rStyle w:val="font_h3"/>
        </w:rPr>
        <w:t xml:space="preserve">2.4.1.1. Echantillons choisis pour les essais</w:t>
      </w:r>
    </w:p>
    <w:p>
      <w:pPr/>
      <w:r>
        <w:rPr/>
        <w:t xml:space="preserve">Validé par le Groupe Spécialisé le 10/05/2021</w:t>
      </w:r>
    </w:p>
    <w:p>
      <w:pPr/>
      <w:r>
        <w:rPr>
          <w:b/>
          <w:bCs/>
        </w:rPr>
        <w:t xml:space="preserve">Description</w:t>
      </w:r>
    </w:p>
    <w:p>
      <w:pPr/>
      <w:r>
        <w:rPr/>
        <w:t xml:space="preserve">Les essais présentés lors de l’examen des demandes de DTA d’isolants support d’étanchéité devront être réalisés avec des échantillons reflétant la production moyenne du fabricant : les essais doivent être réalisés sur des échantillons dont la masse volumique se situe dans la moyenne basse de la production.</w:t>
      </w:r>
    </w:p>
    <w:p>
      <w:pPr>
        <w:ind w:left="2160" w:right="0"/>
      </w:pPr>
      <w:r>
        <w:rPr>
          <w:rStyle w:val="font_h3"/>
        </w:rPr>
        <w:t xml:space="preserve">2.4.1.2. Essai de comportement de l'isolant sous charges statiques réparties et températures élevées (essai de classe)</w:t>
      </w:r>
    </w:p>
    <w:p>
      <w:pPr/>
      <w:r>
        <w:rPr/>
        <w:t xml:space="preserve">Validé par le Groupe Spécialisé le 27/03/2017</w:t>
      </w:r>
    </w:p>
    <w:p>
      <w:pPr/>
      <w:r>
        <w:rPr>
          <w:b/>
          <w:bCs/>
        </w:rPr>
        <w:t xml:space="preserve">Description</w:t>
      </w:r>
    </w:p>
    <w:p>
      <w:pPr/>
      <w:r>
        <w:rPr/>
        <w:t xml:space="preserve">Essai de comportement de l’isolant sous charges statiques réparties et températures élevées selon le §4.51 du guide UEAtc pour l'agrément des systèmes isolants supports d'étanchéité des toitures plates et inclinées (e-cahier 2662_V2 de Juillet 2010) .</w:t>
      </w:r>
    </w:p>
    <w:p>
      <w:pPr/>
      <w:r>
        <w:rPr>
          <w:b/>
          <w:bCs/>
        </w:rPr>
        <w:t xml:space="preserve">Justification</w:t>
      </w:r>
    </w:p>
    <w:p>
      <w:pPr/>
      <w:r>
        <w:rPr/>
        <w:t xml:space="preserve">Rapport d'essai selon le §4.51 du guide UEAtc avec les épaisseurs suivantes : </w:t>
      </w:r>
    </w:p>
    <w:p>
      <w:pPr>
        <w:pPr/>
        <w:numPr>
          <w:ilvl w:val="0"/>
          <w:numId w:val="13"/>
        </w:numPr>
      </w:pPr>
      <w:r>
        <w:rPr/>
        <w:t xml:space="preserve">1 lit : épaisseur minimale et maximale ;</w:t>
      </w:r>
    </w:p>
    <w:p>
      <w:pPr>
        <w:pPr/>
        <w:numPr>
          <w:ilvl w:val="0"/>
          <w:numId w:val="13"/>
        </w:numPr>
      </w:pPr>
      <w:r>
        <w:rPr/>
        <w:t xml:space="preserve">2 lits : épaisseur maxi (si revendiqué).</w:t>
      </w:r>
    </w:p>
    <w:p>
      <w:pPr/>
      <w:r>
        <w:rPr>
          <w:b/>
          <w:bCs/>
        </w:rPr>
        <w:t xml:space="preserve">Critères d'évaluation</w:t>
      </w:r>
    </w:p>
    <w:p>
      <w:pPr>
        <w:pPr/>
        <w:numPr>
          <w:ilvl w:val="0"/>
          <w:numId w:val="14"/>
        </w:numPr>
      </w:pPr>
      <w:r>
        <w:rPr/>
        <w:t xml:space="preserve">Classe C sans protection lourde : Déformation ≤ 5% pour [T = 80°C, 40kPa] -  Classe C avec protection lourde : Déformation ≤ 5% pour [T = 60°C, 40kPa] -  Classe B avec protection lourde : Déformation ≤ 5% pour [T = 60°C, 20kPa] -  Classe B sans protection lourde : Déformation ≤ 5% pour [T = 80°C, 20kPa]</w:t>
      </w:r>
    </w:p>
    <w:p>
      <w:pPr>
        <w:ind w:left="2160" w:right="0"/>
      </w:pPr>
      <w:r>
        <w:rPr>
          <w:rStyle w:val="font_h3"/>
        </w:rPr>
        <w:t xml:space="preserve">2.4.1.3. Essai de comportement de l'isolant sous charge maintenue en température</w:t>
      </w:r>
    </w:p>
    <w:p>
      <w:pPr/>
      <w:r>
        <w:rPr/>
        <w:t xml:space="preserve">Validé par le Groupe Spécialisé le 27/03/2017</w:t>
      </w:r>
    </w:p>
    <w:p>
      <w:pPr/>
      <w:r>
        <w:rPr>
          <w:b/>
          <w:bCs/>
        </w:rPr>
        <w:t xml:space="preserve">Description</w:t>
      </w:r>
    </w:p>
    <w:p>
      <w:pPr/>
      <w:r>
        <w:rPr/>
        <w:t xml:space="preserve">Essai de comportement de l’isolant sous charge maintenue selon le cahier du CSTB 3669 pour les procédés ayant une mise en charge permanente.L'essai est demandé pour les procédés visant les toitures techniques et les toitures végétalisées (le résultat de l'essai permet au maître d'œuvre de réaliser de dimensionnement de l'ouvrage à partir de la charge admissible par l'isolant).</w:t>
      </w:r>
    </w:p>
    <w:p>
      <w:pPr/>
      <w:r>
        <w:rPr>
          <w:b/>
          <w:bCs/>
        </w:rPr>
        <w:t xml:space="preserve">Justification</w:t>
      </w:r>
    </w:p>
    <w:p>
      <w:pPr/>
      <w:r>
        <w:rPr/>
        <w:t xml:space="preserve">Rapport d'essai avec les épaisseurs suivantes : </w:t>
      </w:r>
    </w:p>
    <w:p>
      <w:pPr>
        <w:pPr/>
        <w:numPr>
          <w:ilvl w:val="0"/>
          <w:numId w:val="15"/>
        </w:numPr>
      </w:pPr>
      <w:r>
        <w:rPr/>
        <w:t xml:space="preserve">1 lit : épaisseur maximale ;</w:t>
      </w:r>
    </w:p>
    <w:p>
      <w:pPr>
        <w:pPr/>
        <w:numPr>
          <w:ilvl w:val="0"/>
          <w:numId w:val="15"/>
        </w:numPr>
      </w:pPr>
      <w:r>
        <w:rPr/>
        <w:t xml:space="preserve">2 lits : épaisseur maximale (si revendiqué).</w:t>
      </w:r>
    </w:p>
    <w:p>
      <w:pPr/>
      <w:r>
        <w:rPr>
          <w:b/>
          <w:bCs/>
        </w:rPr>
        <w:t xml:space="preserve">Critères d'évaluation</w:t>
      </w:r>
    </w:p>
    <w:p>
      <w:pPr/>
      <w:r>
        <w:rPr/>
        <w:t xml:space="preserve">Charge admissible de l'isolant</w:t>
      </w:r>
    </w:p>
    <w:p>
      <w:pPr>
        <w:ind w:left="2160" w:right="0"/>
      </w:pPr>
      <w:r>
        <w:rPr>
          <w:rStyle w:val="font_h3"/>
        </w:rPr>
        <w:t xml:space="preserve">2.4.1.4. Essai porte à faux</w:t>
      </w:r>
    </w:p>
    <w:p>
      <w:pPr/>
      <w:r>
        <w:rPr/>
        <w:t xml:space="preserve">Validé par le Groupe Spécialisé le 27/03/2017</w:t>
      </w:r>
    </w:p>
    <w:p>
      <w:pPr/>
      <w:r>
        <w:rPr>
          <w:b/>
          <w:bCs/>
        </w:rPr>
        <w:t xml:space="preserve">Description</w:t>
      </w:r>
    </w:p>
    <w:p>
      <w:pPr/>
      <w:r>
        <w:rPr/>
        <w:t xml:space="preserve">Essai sous charges statiques concentrées sur les parties en porte à faux selon le §4.52 du guide UEAtc pour l'agrément des systèmes isolants supports d'étanchéité des toitures plates et inclinées (e-cahier 2662_V2 de Juillet 2010).</w:t>
      </w:r>
    </w:p>
    <w:p>
      <w:pPr/>
      <w:r>
        <w:rPr/>
        <w:t xml:space="preserve">Cet essai est exigé pour les procédés isolants supports d'étanchéité sur élément porteur en tôles d'acier nervurées conforme à la norme NF DTU 43.3.</w:t>
      </w:r>
    </w:p>
    <w:p>
      <w:pPr/>
      <w:r>
        <w:rPr/>
        <w:t xml:space="preserve">Remarque : cet essai simule le déplacement d'un piéton sur les partie en porte-à-faux de l'isolant.</w:t>
      </w:r>
    </w:p>
    <w:p>
      <w:pPr/>
      <w:r>
        <w:rPr>
          <w:b/>
          <w:bCs/>
        </w:rPr>
        <w:t xml:space="preserve">Justification</w:t>
      </w:r>
    </w:p>
    <w:p>
      <w:pPr/>
      <w:r>
        <w:rPr/>
        <w:t xml:space="preserve">Rapport d'essai  selon le §4.52 guide UEAtc avec l'épaisseur minimale (en 1 lit).</w:t>
      </w:r>
    </w:p>
    <w:p>
      <w:pPr/>
      <w:r>
        <w:rPr>
          <w:b/>
          <w:bCs/>
        </w:rPr>
        <w:t xml:space="preserve">Critères d'évaluation</w:t>
      </w:r>
    </w:p>
    <w:p>
      <w:pPr>
        <w:pPr/>
        <w:numPr>
          <w:ilvl w:val="0"/>
          <w:numId w:val="16"/>
        </w:numPr>
      </w:pPr>
      <w:r>
        <w:rPr/>
        <w:t xml:space="preserve">Charge de ruine supérieure à 700 N  -  Déformation résiduelle inférieure à 1 mm après charge de 700 N</w:t>
      </w:r>
    </w:p>
    <w:p>
      <w:pPr>
        <w:ind w:left="2160" w:right="0"/>
      </w:pPr>
      <w:r>
        <w:rPr>
          <w:rStyle w:val="font_h3"/>
        </w:rPr>
        <w:t xml:space="preserve">2.4.1.5. Essai porte à faux (Ohn  70mm)</w:t>
      </w:r>
    </w:p>
    <w:p>
      <w:pPr/>
      <w:r>
        <w:rPr/>
        <w:t xml:space="preserve">Validé par le Groupe Spécialisé le 27/03/2017</w:t>
      </w:r>
    </w:p>
    <w:p>
      <w:pPr/>
      <w:r>
        <w:rPr>
          <w:b/>
          <w:bCs/>
        </w:rPr>
        <w:t xml:space="preserve">Description</w:t>
      </w:r>
    </w:p>
    <w:p>
      <w:pPr/>
      <w:r>
        <w:rPr/>
        <w:t xml:space="preserve">Essai sous charges statiques concentrées sur les parties en porte à faux selon le cahier du CSTB 3537_V2 de Janvier 2009.</w:t>
      </w:r>
    </w:p>
    <w:p>
      <w:pPr/>
      <w:r>
        <w:rPr/>
        <w:t xml:space="preserve">Cet essai est exigé pour les procédés isolants supports d'étanchéité sur élément porteur en tôles d'acier nervurées dont l'ouverture haute de nervure est supérieure à 70mm.</w:t>
      </w:r>
    </w:p>
    <w:p>
      <w:pPr/>
      <w:r>
        <w:rPr/>
        <w:t xml:space="preserve">Remarque : cet essai simule le déplacement d'un piéton sur les partie en porte-à-faux de l'isolant.</w:t>
      </w:r>
    </w:p>
    <w:p>
      <w:pPr/>
      <w:r>
        <w:rPr>
          <w:b/>
          <w:bCs/>
        </w:rPr>
        <w:t xml:space="preserve">Justification</w:t>
      </w:r>
    </w:p>
    <w:p>
      <w:pPr/>
      <w:r>
        <w:rPr/>
        <w:t xml:space="preserve">Rapport d'essai  selon le cahier du CSTB 3537_V2 avec l'épaisseur minimale (en 1 lit).</w:t>
      </w:r>
    </w:p>
    <w:p>
      <w:pPr/>
      <w:r>
        <w:rPr>
          <w:b/>
          <w:bCs/>
        </w:rPr>
        <w:t xml:space="preserve">Critères d'évaluation</w:t>
      </w:r>
    </w:p>
    <w:p>
      <w:pPr>
        <w:pPr/>
        <w:numPr>
          <w:ilvl w:val="0"/>
          <w:numId w:val="17"/>
        </w:numPr>
      </w:pPr>
      <w:r>
        <w:rPr/>
        <w:t xml:space="preserve">Déformation résiduelle d’au plus 0,5 mm, après déchargement, sous la charge de 1000N  -  Charge de ruine d’au moins 1 700 N</w:t>
      </w:r>
    </w:p>
    <w:p>
      <w:pPr>
        <w:ind w:left="2160" w:right="0"/>
      </w:pPr>
      <w:r>
        <w:rPr>
          <w:rStyle w:val="font_h3"/>
        </w:rPr>
        <w:t xml:space="preserve">2.4.1.6. Essai sous charges concentrées à mi-point d'une portée libre</w:t>
      </w:r>
    </w:p>
    <w:p>
      <w:pPr/>
      <w:r>
        <w:rPr/>
        <w:t xml:space="preserve">Validé par le Groupe Spécialisé le 27/03/2017</w:t>
      </w:r>
    </w:p>
    <w:p>
      <w:pPr/>
      <w:r>
        <w:rPr>
          <w:b/>
          <w:bCs/>
        </w:rPr>
        <w:t xml:space="preserve">Description</w:t>
      </w:r>
    </w:p>
    <w:p>
      <w:pPr/>
      <w:r>
        <w:rPr/>
        <w:t xml:space="preserve">Comportement sous charges concentrées à mi-point d'une portée libre.</w:t>
      </w:r>
    </w:p>
    <w:p>
      <w:pPr/>
      <w:r>
        <w:rPr>
          <w:b/>
          <w:bCs/>
        </w:rPr>
        <w:t xml:space="preserve">Justification</w:t>
      </w:r>
    </w:p>
    <w:p>
      <w:pPr/>
      <w:r>
        <w:rPr/>
        <w:t xml:space="preserve">Rapport d'essai sur l'épaisseur minimale selon guide de l'UEAtc pour l'agrément des systèmes isolants supports d'étanchéité des toitures plates et inclinées (e-cahier 2662_V2 de Juillet 2010)</w:t>
      </w:r>
    </w:p>
    <w:p>
      <w:pPr/>
      <w:r>
        <w:rPr>
          <w:b/>
          <w:bCs/>
        </w:rPr>
        <w:t xml:space="preserve">Critères d'évaluation</w:t>
      </w:r>
    </w:p>
    <w:p>
      <w:pPr/>
      <w:r>
        <w:rPr/>
        <w:t xml:space="preserve">Absence de rupture du panneau isolant pour la portée maximale envisagée</w:t>
      </w:r>
    </w:p>
    <w:p>
      <w:pPr>
        <w:ind w:left="2160" w:right="0"/>
      </w:pPr>
      <w:r>
        <w:rPr>
          <w:rStyle w:val="font_h3"/>
        </w:rPr>
        <w:t xml:space="preserve">2.4.1.7. Particularités pour les isolants de classe B</w:t>
      </w:r>
    </w:p>
    <w:p>
      <w:pPr/>
      <w:r>
        <w:rPr/>
        <w:t xml:space="preserve">Validé par le Groupe Spécialisé le 13/12/2021</w:t>
      </w:r>
    </w:p>
    <w:p>
      <w:pPr/>
      <w:r>
        <w:rPr>
          <w:b/>
          <w:bCs/>
        </w:rPr>
        <w:t xml:space="preserve">Description</w:t>
      </w:r>
    </w:p>
    <w:p>
      <w:pPr/>
      <w:r>
        <w:rPr/>
        <w:t xml:space="preserve">L’essai sous charge ponctuelle déterminé à partir de l’essai de comportement sous charge maintenue en température 50 °C pour une déformation maximale de 2 mm à 100 000 h ne sera plus obligatoire pour les isolants de classe B</w:t>
      </w:r>
    </w:p>
    <w:p>
      <w:pPr>
        <w:ind w:left="1440" w:right="0"/>
      </w:pPr>
      <w:r>
        <w:rPr>
          <w:rStyle w:val="font_h3"/>
        </w:rPr>
        <w:t xml:space="preserve">2.4.2. Comportement à l'eau</w:t>
      </w:r>
    </w:p>
    <w:p>
      <w:pPr>
        <w:ind w:left="2160" w:right="0"/>
      </w:pPr>
      <w:r>
        <w:rPr>
          <w:rStyle w:val="font_h3"/>
        </w:rPr>
        <w:t xml:space="preserve">2.4.2.1. Essai de compression après immersion</w:t>
      </w:r>
    </w:p>
    <w:p>
      <w:pPr/>
      <w:r>
        <w:rPr/>
        <w:t xml:space="preserve">Validé par le Groupe Spécialisé le 27/03/2017</w:t>
      </w:r>
    </w:p>
    <w:p>
      <w:pPr/>
      <w:r>
        <w:rPr>
          <w:b/>
          <w:bCs/>
        </w:rPr>
        <w:t xml:space="preserve">Description</w:t>
      </w:r>
    </w:p>
    <w:p>
      <w:pPr/>
      <w:r>
        <w:rPr/>
        <w:t xml:space="preserve">Essai d’immersion (mesure de la compression après immersion) selon le § 4.42 du guide UEAtc pour l'agrément des systèmes isolants supports d'étanchéité des toitures plates et inclinées (e-cahier 2662_V2 de Juillet 2010) .</w:t>
      </w:r>
    </w:p>
    <w:p>
      <w:pPr/>
      <w:r>
        <w:rPr>
          <w:b/>
          <w:bCs/>
        </w:rPr>
        <w:t xml:space="preserve">Justification</w:t>
      </w:r>
    </w:p>
    <w:p>
      <w:pPr/>
      <w:r>
        <w:rPr/>
        <w:t xml:space="preserve">Rapports d'essai pour les épaisseurs minimale et maximale.</w:t>
      </w:r>
    </w:p>
    <w:p>
      <w:pPr/>
      <w:r>
        <w:rPr>
          <w:b/>
          <w:bCs/>
        </w:rPr>
        <w:t xml:space="preserve">Critères d'évaluation</w:t>
      </w:r>
    </w:p>
    <w:p>
      <w:pPr/>
      <w:r>
        <w:rPr/>
        <w:t xml:space="preserve">Pas de perte supérieure à 20 % entre l'état initial et l'état vieilli</w:t>
      </w:r>
    </w:p>
    <w:p>
      <w:pPr>
        <w:ind w:left="2160" w:right="0"/>
      </w:pPr>
      <w:r>
        <w:rPr>
          <w:rStyle w:val="font_h3"/>
        </w:rPr>
        <w:t xml:space="preserve">2.4.2.2. Essai de traction perpendiculaire aux faces après immersion</w:t>
      </w:r>
    </w:p>
    <w:p>
      <w:pPr/>
      <w:r>
        <w:rPr/>
        <w:t xml:space="preserve">Validé par le Groupe Spécialisé le 27/03/2017</w:t>
      </w:r>
    </w:p>
    <w:p>
      <w:pPr/>
      <w:r>
        <w:rPr>
          <w:b/>
          <w:bCs/>
        </w:rPr>
        <w:t xml:space="preserve">Description</w:t>
      </w:r>
    </w:p>
    <w:p>
      <w:pPr/>
      <w:r>
        <w:rPr/>
        <w:t xml:space="preserve">Essai d’immersion (comprenant la mesure de la traction perpendiculaire aux faces avant et après immersion) selon le § 4.42 du guide UEAtc pour l'agrément des systèmes isolants supports d'étanchéité des toitures plates et inclinées (e-cahier 2662_V2 de Juillet 2010) .</w:t>
      </w:r>
    </w:p>
    <w:p>
      <w:pPr/>
      <w:r>
        <w:rPr>
          <w:b/>
          <w:bCs/>
        </w:rPr>
        <w:t xml:space="preserve">Justification</w:t>
      </w:r>
    </w:p>
    <w:p>
      <w:pPr/>
      <w:r>
        <w:rPr/>
        <w:t xml:space="preserve">Rapport d'essai avec les épaisseurs minimale et maximale.</w:t>
      </w:r>
    </w:p>
    <w:p>
      <w:pPr/>
      <w:r>
        <w:rPr>
          <w:b/>
          <w:bCs/>
        </w:rPr>
        <w:t xml:space="preserve">Critères d'évaluation</w:t>
      </w:r>
    </w:p>
    <w:p>
      <w:pPr/>
      <w:r>
        <w:rPr/>
        <w:t xml:space="preserve">Ecart de la valeur de contrainte de rupture avant et après immersion inférieur à 20%</w:t>
      </w:r>
    </w:p>
    <w:p>
      <w:pPr>
        <w:ind w:left="2160" w:right="0"/>
      </w:pPr>
      <w:r>
        <w:rPr>
          <w:rStyle w:val="font_h3"/>
        </w:rPr>
        <w:t xml:space="preserve">2.4.2.3. Essai de traction perpendiculaire aux faces après traitement d'humidification</w:t>
      </w:r>
    </w:p>
    <w:p>
      <w:pPr/>
      <w:r>
        <w:rPr/>
        <w:t xml:space="preserve">Validé par le Groupe Spécialisé le 27/03/2017</w:t>
      </w:r>
    </w:p>
    <w:p>
      <w:pPr/>
      <w:r>
        <w:rPr>
          <w:b/>
          <w:bCs/>
        </w:rPr>
        <w:t xml:space="preserve">Description</w:t>
      </w:r>
    </w:p>
    <w:p>
      <w:pPr/>
      <w:r>
        <w:rPr/>
        <w:t xml:space="preserve">Mesure de la contrainte de rupture en traction perpendiculaire aux faces après traitement d'humidification 24 h à [70 °C ; 100% HR] suivi de 24h à l'ambiance.</w:t>
      </w:r>
    </w:p>
    <w:p>
      <w:pPr/>
      <w:r>
        <w:rPr>
          <w:b/>
          <w:bCs/>
        </w:rPr>
        <w:t xml:space="preserve">Justification</w:t>
      </w:r>
    </w:p>
    <w:p>
      <w:pPr/>
      <w:r>
        <w:rPr/>
        <w:t xml:space="preserve">Rapport d'essai avec mesure sur l'épaisseur minimale et maximale.</w:t>
      </w:r>
    </w:p>
    <w:p>
      <w:pPr/>
      <w:r>
        <w:rPr>
          <w:b/>
          <w:bCs/>
        </w:rPr>
        <w:t xml:space="preserve">Critères d'évaluation</w:t>
      </w:r>
    </w:p>
    <w:p>
      <w:pPr/>
      <w:r>
        <w:rPr/>
        <w:t xml:space="preserve">Pas de perte supérieure à 50 % entre l'état initial et l'état vieilli - contrainte restant supérieure à 7,5 kPa</w:t>
      </w:r>
    </w:p>
    <w:p>
      <w:pPr>
        <w:ind w:left="1440" w:right="0"/>
      </w:pPr>
      <w:r>
        <w:rPr>
          <w:rStyle w:val="font_h3"/>
        </w:rPr>
        <w:t xml:space="preserve">2.4.3. Compatibilité de colle</w:t>
      </w:r>
    </w:p>
    <w:p>
      <w:pPr/>
      <w:r>
        <w:rPr/>
        <w:t xml:space="preserve">Validé par le Groupe Spécialisé le 27/03/2017</w:t>
      </w:r>
    </w:p>
    <w:p>
      <w:pPr/>
      <w:r>
        <w:rPr>
          <w:b/>
          <w:bCs/>
        </w:rPr>
        <w:t xml:space="preserve">Description</w:t>
      </w:r>
    </w:p>
    <w:p>
      <w:pPr/>
      <w:r>
        <w:rPr/>
        <w:t xml:space="preserve">Essai de cohésion transversale utile selon la norme NF EN 1607.</w:t>
      </w:r>
    </w:p>
    <w:p>
      <w:pPr/>
      <w:r>
        <w:rPr>
          <w:b/>
          <w:bCs/>
        </w:rPr>
        <w:t xml:space="preserve">Justification</w:t>
      </w:r>
    </w:p>
    <w:p>
      <w:pPr/>
      <w:r>
        <w:rPr/>
        <w:t xml:space="preserve">Rapport d'essai avec l'épaisseur moyenne.</w:t>
      </w:r>
    </w:p>
    <w:p>
      <w:pPr>
        <w:ind w:left="720" w:right="0"/>
      </w:pPr>
      <w:r>
        <w:rPr>
          <w:rStyle w:val="font_h2"/>
        </w:rPr>
        <w:t xml:space="preserve">2.5. Matériaux pour écran pare-vapeur</w:t>
      </w:r>
    </w:p>
    <w:p>
      <w:pPr/>
      <w:r>
        <w:rPr/>
        <w:t xml:space="preserve">Validé par le Groupe Spécialisé le 27/03/2017</w:t>
      </w:r>
    </w:p>
    <w:p>
      <w:pPr/>
      <w:r>
        <w:rPr>
          <w:b/>
          <w:bCs/>
        </w:rPr>
        <w:t xml:space="preserve">Description</w:t>
      </w:r>
    </w:p>
    <w:p>
      <w:pPr/>
      <w:r>
        <w:rPr/>
        <w:t xml:space="preserve">Description des matériaux utilisés.</w:t>
      </w:r>
    </w:p>
    <w:p>
      <w:pPr>
        <w:ind w:left="720" w:right="0"/>
      </w:pPr>
      <w:r>
        <w:rPr>
          <w:rStyle w:val="font_h2"/>
        </w:rPr>
        <w:t xml:space="preserve">2.6. Accessoires de fixation</w:t>
      </w:r>
    </w:p>
    <w:p>
      <w:pPr/>
      <w:r>
        <w:rPr/>
        <w:t xml:space="preserve">Validé par le Groupe Spécialisé le 27/03/2017</w:t>
      </w:r>
    </w:p>
    <w:p>
      <w:pPr/>
      <w:r>
        <w:rPr>
          <w:b/>
          <w:bCs/>
        </w:rPr>
        <w:t xml:space="preserve">Description</w:t>
      </w:r>
    </w:p>
    <w:p>
      <w:pPr/>
      <w:r>
        <w:rPr/>
        <w:t xml:space="preserve">Description des attelages de fixations des panneaux utilisés selon les éléments porteurs revendiqués.</w:t>
      </w:r>
    </w:p>
    <w:p>
      <w:pPr/>
      <w:r>
        <w:rPr/>
        <w:t xml:space="preserve">Donner les informations suivantes : </w:t>
      </w:r>
    </w:p>
    <w:p>
      <w:pPr>
        <w:pPr/>
        <w:numPr>
          <w:ilvl w:val="0"/>
          <w:numId w:val="18"/>
        </w:numPr>
      </w:pPr>
      <w:r>
        <w:rPr/>
        <w:t xml:space="preserve">Type de fixation : métallique ou à rupture de ponts thermiques (nature du plastique) ;</w:t>
      </w:r>
    </w:p>
    <w:p>
      <w:pPr>
        <w:pPr/>
        <w:numPr>
          <w:ilvl w:val="0"/>
          <w:numId w:val="18"/>
        </w:numPr>
      </w:pPr>
      <w:r>
        <w:rPr/>
        <w:t xml:space="preserve">Plaquette : matériau, diamètre, épaisseur ; </w:t>
      </w:r>
    </w:p>
    <w:p>
      <w:pPr>
        <w:pPr/>
        <w:numPr>
          <w:ilvl w:val="0"/>
          <w:numId w:val="18"/>
        </w:numPr>
      </w:pPr>
      <w:r>
        <w:rPr/>
        <w:t xml:space="preserve">Elément de liaison : type (rivet, vis, clou à friction, cheville, etc.) et diamètre ;</w:t>
      </w:r>
    </w:p>
    <w:p>
      <w:pPr>
        <w:pPr/>
        <w:numPr>
          <w:ilvl w:val="0"/>
          <w:numId w:val="18"/>
        </w:numPr>
      </w:pPr>
      <w:r>
        <w:rPr/>
        <w:t xml:space="preserve">Valeur de la résistance à l'arrachement de l'attelage selon NF P 30-310 ou 313; </w:t>
      </w:r>
    </w:p>
    <w:p>
      <w:pPr>
        <w:pPr/>
        <w:numPr>
          <w:ilvl w:val="0"/>
          <w:numId w:val="18"/>
        </w:numPr>
      </w:pPr>
      <w:r>
        <w:rPr/>
        <w:t xml:space="preserve">Mode de fixation : "solide au pas" conformément à la norme NF P 30-317.</w:t>
      </w:r>
    </w:p>
    <w:p>
      <w:pPr/>
      <w:r>
        <w:rPr>
          <w:b/>
          <w:bCs/>
        </w:rPr>
        <w:t xml:space="preserve">Illustration</w:t>
      </w:r>
    </w:p>
    <w:p>
      <w:pPr/>
      <w:r>
        <w:rPr/>
        <w:t xml:space="preserve">Dans le cas d'attelages présentant des vis à rupture de ponts thermiques, fournir une vue en coupe de l'attelage.</w:t>
      </w:r>
    </w:p>
    <w:p>
      <w:pPr>
        <w:ind w:left="720" w:right="0"/>
      </w:pPr>
      <w:r>
        <w:rPr>
          <w:rStyle w:val="font_h2"/>
        </w:rPr>
        <w:t xml:space="preserve">2.7. Matériaux d'étanchéité</w:t>
      </w:r>
    </w:p>
    <w:p>
      <w:pPr/>
      <w:r>
        <w:rPr/>
        <w:t xml:space="preserve">Validé par le Groupe Spécialisé le 27/03/2017</w:t>
      </w:r>
    </w:p>
    <w:p>
      <w:pPr/>
      <w:r>
        <w:rPr>
          <w:b/>
          <w:bCs/>
        </w:rPr>
        <w:t xml:space="preserve">Description</w:t>
      </w:r>
    </w:p>
    <w:p>
      <w:pPr/>
      <w:r>
        <w:rPr/>
        <w:t xml:space="preserve">Description des revêtements d'étanchéité visés.</w:t>
      </w:r>
    </w:p>
    <w:p>
      <w:pPr/>
      <w:r>
        <w:rPr>
          <w:rStyle w:val="font_h1"/>
        </w:rPr>
        <w:t xml:space="preserve">3. Fabrication et controle</w:t>
      </w:r>
    </w:p>
    <w:p>
      <w:pPr>
        <w:ind w:left="720" w:right="0"/>
      </w:pPr>
      <w:r>
        <w:rPr>
          <w:rStyle w:val="font_h2"/>
        </w:rPr>
        <w:t xml:space="preserve">3.1. Usine de fabrication</w:t>
      </w:r>
    </w:p>
    <w:p>
      <w:pPr/>
      <w:r>
        <w:rPr/>
        <w:t xml:space="preserve">Validé par le Groupe Spécialisé le 27/03/2017</w:t>
      </w:r>
    </w:p>
    <w:p>
      <w:pPr/>
      <w:r>
        <w:rPr>
          <w:b/>
          <w:bCs/>
        </w:rPr>
        <w:t xml:space="preserve">Description</w:t>
      </w:r>
    </w:p>
    <w:p>
      <w:pPr/>
      <w:r>
        <w:rPr/>
        <w:t xml:space="preserve">Nom et adresse de l' (des) usine(s) de fabrication.</w:t>
      </w:r>
    </w:p>
    <w:p>
      <w:pPr>
        <w:ind w:left="720" w:right="0"/>
      </w:pPr>
      <w:r>
        <w:rPr>
          <w:rStyle w:val="font_h2"/>
        </w:rPr>
        <w:t xml:space="preserve">3.2. Description de la fabrication</w:t>
      </w:r>
    </w:p>
    <w:p>
      <w:pPr/>
      <w:r>
        <w:rPr/>
        <w:t xml:space="preserve">Validé par le Groupe Spécialisé le 27/03/2017</w:t>
      </w:r>
    </w:p>
    <w:p>
      <w:pPr/>
      <w:r>
        <w:rPr>
          <w:b/>
          <w:bCs/>
        </w:rPr>
        <w:t xml:space="preserve">Description</w:t>
      </w:r>
    </w:p>
    <w:p>
      <w:pPr/>
      <w:r>
        <w:rPr/>
        <w:t xml:space="preserve">Description du processus de fabrication.</w:t>
      </w:r>
    </w:p>
    <w:p>
      <w:pPr>
        <w:ind w:left="720" w:right="0"/>
      </w:pPr>
      <w:r>
        <w:rPr>
          <w:rStyle w:val="font_h2"/>
        </w:rPr>
        <w:t xml:space="preserve">3.3. Contrôles de fabrication</w:t>
      </w:r>
    </w:p>
    <w:p>
      <w:pPr/>
      <w:r>
        <w:rPr/>
        <w:t xml:space="preserve">Validé par le Groupe Spécialisé le 27/03/2017</w:t>
      </w:r>
    </w:p>
    <w:p>
      <w:pPr/>
      <w:r>
        <w:rPr>
          <w:b/>
          <w:bCs/>
        </w:rPr>
        <w:t xml:space="preserve">Description</w:t>
      </w:r>
    </w:p>
    <w:p>
      <w:pPr/>
      <w:r>
        <w:rPr/>
        <w:t xml:space="preserve">Description des contrôles de fabrication sur chaîne de fabrication et sur produits finis : spécification, référentiel, fréquence.</w:t>
      </w:r>
    </w:p>
    <w:p>
      <w:pPr/>
      <w:r>
        <w:rPr>
          <w:b/>
          <w:bCs/>
        </w:rPr>
        <w:t xml:space="preserve">Justification</w:t>
      </w:r>
    </w:p>
    <w:p>
      <w:pPr/>
      <w:r>
        <w:rPr/>
        <w:t xml:space="preserve">Auto-contrôles selon normes d'essai (cf. 2.3 du présent document) en adéquation avec les performances déclarées dont au minimum celles-ci : </w:t>
      </w:r>
    </w:p>
    <w:p>
      <w:pPr>
        <w:pPr/>
        <w:numPr>
          <w:ilvl w:val="0"/>
          <w:numId w:val="19"/>
        </w:numPr>
      </w:pPr>
      <w:r>
        <w:rPr/>
        <w:t xml:space="preserve">Longueur et largeur ;</w:t>
      </w:r>
    </w:p>
    <w:p>
      <w:pPr>
        <w:pPr/>
        <w:numPr>
          <w:ilvl w:val="0"/>
          <w:numId w:val="19"/>
        </w:numPr>
      </w:pPr>
      <w:r>
        <w:rPr/>
        <w:t xml:space="preserve">Planéité ;</w:t>
      </w:r>
    </w:p>
    <w:p>
      <w:pPr>
        <w:pPr/>
        <w:numPr>
          <w:ilvl w:val="0"/>
          <w:numId w:val="19"/>
        </w:numPr>
      </w:pPr>
      <w:r>
        <w:rPr/>
        <w:t xml:space="preserve">Équerrage ;</w:t>
      </w:r>
    </w:p>
    <w:p>
      <w:pPr>
        <w:pPr/>
        <w:numPr>
          <w:ilvl w:val="0"/>
          <w:numId w:val="19"/>
        </w:numPr>
      </w:pPr>
      <w:r>
        <w:rPr/>
        <w:t xml:space="preserve">Masse volumique ;</w:t>
      </w:r>
    </w:p>
    <w:p>
      <w:pPr>
        <w:pPr/>
        <w:numPr>
          <w:ilvl w:val="0"/>
          <w:numId w:val="19"/>
        </w:numPr>
      </w:pPr>
      <w:r>
        <w:rPr/>
        <w:t xml:space="preserve">Compression.</w:t>
      </w:r>
    </w:p>
    <w:p>
      <w:pPr/>
      <w:r>
        <w:rPr>
          <w:b/>
          <w:bCs/>
        </w:rPr>
        <w:t xml:space="preserve">Critères d'évaluation</w:t>
      </w:r>
    </w:p>
    <w:p>
      <w:pPr>
        <w:pPr/>
        <w:numPr>
          <w:ilvl w:val="0"/>
          <w:numId w:val="20"/>
        </w:numPr>
      </w:pPr>
      <w:r>
        <w:rPr/>
        <w:t xml:space="preserve">Cas de plusieurs sites de fabrication : comparaison des autocontrôles.</w:t>
      </w:r>
    </w:p>
    <w:p>
      <w:pPr>
        <w:pPr/>
        <w:numPr>
          <w:ilvl w:val="0"/>
          <w:numId w:val="20"/>
        </w:numPr>
      </w:pPr>
      <w:r>
        <w:rPr/>
        <w:t xml:space="preserve">Correspondance des autocontrôles avec la DdP et le certificat ACERMI ou équivalent.</w:t>
      </w:r>
    </w:p>
    <w:p>
      <w:pPr/>
      <w:r>
        <w:rPr>
          <w:rStyle w:val="font_h1"/>
        </w:rPr>
        <w:t xml:space="preserve">4. Mise en oeuvre</w:t>
      </w:r>
    </w:p>
    <w:p>
      <w:pPr>
        <w:ind w:left="720" w:right="0"/>
      </w:pPr>
      <w:r>
        <w:rPr>
          <w:rStyle w:val="font_h2"/>
        </w:rPr>
        <w:t xml:space="preserve">4.1. Mise en oeuvre du pare-vapeur</w:t>
      </w:r>
    </w:p>
    <w:p>
      <w:pPr/>
      <w:r>
        <w:rPr/>
        <w:t xml:space="preserve">Validé par le Groupe Spécialisé le 27/03/2017</w:t>
      </w:r>
    </w:p>
    <w:p>
      <w:pPr/>
      <w:r>
        <w:rPr>
          <w:b/>
          <w:bCs/>
        </w:rPr>
        <w:t xml:space="preserve">Description</w:t>
      </w:r>
    </w:p>
    <w:p>
      <w:pPr/>
      <w:r>
        <w:rPr/>
        <w:t xml:space="preserve">Prescriptions concernant la mise en oeuvre du pare-vapeur selon le type d'élément porteur (renvois aux DTU/DTA concernés).</w:t>
      </w:r>
    </w:p>
    <w:p>
      <w:pPr>
        <w:ind w:left="720" w:right="0"/>
      </w:pPr>
      <w:r>
        <w:rPr>
          <w:rStyle w:val="font_h2"/>
        </w:rPr>
        <w:t xml:space="preserve">4.2. Mise en oeuvre sur des supports constitués d'anciens revêtements d'étanchéité</w:t>
      </w:r>
    </w:p>
    <w:p>
      <w:pPr/>
      <w:r>
        <w:rPr/>
        <w:t xml:space="preserve">Validé par le Groupe Spécialisé le 27/03/2017</w:t>
      </w:r>
    </w:p>
    <w:p>
      <w:pPr/>
      <w:r>
        <w:rPr>
          <w:b/>
          <w:bCs/>
        </w:rPr>
        <w:t xml:space="preserve">Description</w:t>
      </w:r>
    </w:p>
    <w:p>
      <w:pPr/>
      <w:r>
        <w:rPr/>
        <w:t xml:space="preserve">Prescriptions techniques pour la mise en œuvre dans le cas de supports constitués d'anciens revêtements d'étanchéité (référence au NF DTU 43.5).</w:t>
      </w:r>
    </w:p>
    <w:p>
      <w:pPr>
        <w:ind w:left="720" w:right="0"/>
      </w:pPr>
      <w:r>
        <w:rPr>
          <w:rStyle w:val="font_h2"/>
        </w:rPr>
        <w:t xml:space="preserve">4.3. Mise en oeuvre des panneaux isolants</w:t>
      </w:r>
    </w:p>
    <w:p>
      <w:pPr/>
      <w:r>
        <w:rPr/>
        <w:t xml:space="preserve">Validé par le Groupe Spécialisé le 27/03/2017</w:t>
      </w:r>
    </w:p>
    <w:p>
      <w:pPr/>
      <w:r>
        <w:rPr>
          <w:b/>
          <w:bCs/>
        </w:rPr>
        <w:t xml:space="preserve">Description</w:t>
      </w:r>
    </w:p>
    <w:p>
      <w:pPr/>
      <w:r>
        <w:rPr/>
        <w:t xml:space="preserve">Prescriptions concernant la mise en œuvre des panneaux isolants pour toutes les configurations visées (renvois aux DTU concernés) : </w:t>
      </w:r>
    </w:p>
    <w:p>
      <w:pPr>
        <w:pPr/>
        <w:numPr>
          <w:ilvl w:val="0"/>
          <w:numId w:val="21"/>
        </w:numPr>
      </w:pPr>
      <w:r>
        <w:rPr/>
        <w:t xml:space="preserve">pour chaque type d'élément porteur ;</w:t>
      </w:r>
    </w:p>
    <w:p>
      <w:pPr>
        <w:pPr/>
        <w:numPr>
          <w:ilvl w:val="0"/>
          <w:numId w:val="21"/>
        </w:numPr>
      </w:pPr>
      <w:r>
        <w:rPr/>
        <w:t xml:space="preserve">pour les toitures courbes ;</w:t>
      </w:r>
    </w:p>
    <w:p>
      <w:pPr>
        <w:pPr/>
        <w:numPr>
          <w:ilvl w:val="0"/>
          <w:numId w:val="21"/>
        </w:numPr>
      </w:pPr>
      <w:r>
        <w:rPr/>
        <w:t xml:space="preserve">cas du climat de montagne ;</w:t>
      </w:r>
    </w:p>
    <w:p>
      <w:pPr>
        <w:pPr/>
        <w:numPr>
          <w:ilvl w:val="0"/>
          <w:numId w:val="21"/>
        </w:numPr>
      </w:pPr>
      <w:r>
        <w:rPr/>
        <w:t xml:space="preserve">cas des locaux à forte voire très forte hygrométrie ;</w:t>
      </w:r>
    </w:p>
    <w:p>
      <w:pPr>
        <w:pPr/>
        <w:numPr>
          <w:ilvl w:val="0"/>
          <w:numId w:val="21"/>
        </w:numPr>
      </w:pPr>
      <w:r>
        <w:rPr/>
        <w:t xml:space="preserve">cas des départements et régions d'outre-mer (DROM).</w:t>
      </w:r>
    </w:p>
    <w:p>
      <w:pPr/>
      <w:r>
        <w:rPr>
          <w:b/>
          <w:bCs/>
        </w:rPr>
        <w:t xml:space="preserve">Illustration</w:t>
      </w:r>
    </w:p>
    <w:p>
      <w:pPr>
        <w:pPr/>
        <w:numPr>
          <w:ilvl w:val="0"/>
          <w:numId w:val="22"/>
        </w:numPr>
      </w:pPr>
      <w:r>
        <w:rPr/>
        <w:t xml:space="preserve">Schémas de principe de pose pour les types de pose visées (pose en quiconce, pose en plusieurs lits, points singuliers, position des fixations sur le panneau, etc.) ;</w:t>
      </w:r>
    </w:p>
    <w:p>
      <w:pPr>
        <w:pPr/>
        <w:numPr>
          <w:ilvl w:val="0"/>
          <w:numId w:val="22"/>
        </w:numPr>
      </w:pPr>
      <w:r>
        <w:rPr/>
        <w:t xml:space="preserve">Description des solutions d'isolation des relevés.</w:t>
      </w:r>
    </w:p>
    <w:p>
      <w:pPr>
        <w:ind w:left="720" w:right="0"/>
      </w:pPr>
      <w:r>
        <w:rPr>
          <w:rStyle w:val="font_h2"/>
        </w:rPr>
        <w:t xml:space="preserve">4.4. Mise en oeuvre du revêtement d'étanchéité</w:t>
      </w:r>
    </w:p>
    <w:p>
      <w:pPr/>
      <w:r>
        <w:rPr/>
        <w:t xml:space="preserve">Validé par le Groupe Spécialisé le 27/03/2017</w:t>
      </w:r>
    </w:p>
    <w:p>
      <w:pPr/>
      <w:r>
        <w:rPr>
          <w:b/>
          <w:bCs/>
        </w:rPr>
        <w:t xml:space="preserve">Description</w:t>
      </w:r>
    </w:p>
    <w:p>
      <w:pPr/>
      <w:r>
        <w:rPr/>
        <w:t xml:space="preserve">Prescriptions concernant la pose du revêtement d'étanchéité (renvois aux DTU et Avis Techniques concernés).</w:t>
      </w:r>
    </w:p>
    <w:p>
      <w:pPr>
        <w:ind w:left="720" w:right="0"/>
      </w:pPr>
      <w:r>
        <w:rPr>
          <w:rStyle w:val="font_h2"/>
        </w:rPr>
        <w:t xml:space="preserve">4.5. Mise en oeuvre de la protection d'étanchéité</w:t>
      </w:r>
    </w:p>
    <w:p>
      <w:pPr/>
      <w:r>
        <w:rPr/>
        <w:t xml:space="preserve">Validé par le Groupe Spécialisé le 27/03/2017</w:t>
      </w:r>
    </w:p>
    <w:p>
      <w:pPr/>
      <w:r>
        <w:rPr>
          <w:b/>
          <w:bCs/>
        </w:rPr>
        <w:t xml:space="preserve">Description</w:t>
      </w:r>
    </w:p>
    <w:p>
      <w:pPr/>
      <w:r>
        <w:rPr/>
        <w:t xml:space="preserve">Prescriptions techniques concernant la pose de la protection d'étanchéité (renvois aux DTU et Avis Techniques concernés).Lister les protections envisagées en climat de plaine et en climat de montagne.</w:t>
      </w:r>
    </w:p>
    <w:p>
      <w:pPr>
        <w:ind w:left="720" w:right="0"/>
      </w:pPr>
      <w:r>
        <w:rPr>
          <w:rStyle w:val="font_h2"/>
        </w:rPr>
        <w:t xml:space="preserve">4.6. Chantiers de référence</w:t>
      </w:r>
    </w:p>
    <w:p>
      <w:pPr/>
      <w:r>
        <w:rPr/>
        <w:t xml:space="preserve">Validé par le Groupe Spécialisé le 27/03/2017</w:t>
      </w:r>
    </w:p>
    <w:p>
      <w:pPr/>
      <w:r>
        <w:rPr>
          <w:b/>
          <w:bCs/>
        </w:rPr>
        <w:t xml:space="preserve">Description</w:t>
      </w:r>
    </w:p>
    <w:p>
      <w:pPr/>
      <w:r>
        <w:rPr/>
        <w:t xml:space="preserve">Chantiers de référence.</w:t>
      </w:r>
    </w:p>
    <w:p>
      <w:pPr/>
      <w:r>
        <w:rPr>
          <w:b/>
          <w:bCs/>
        </w:rPr>
        <w:t xml:space="preserve">Justification</w:t>
      </w:r>
    </w:p>
    <w:p>
      <w:pPr/>
      <w:r>
        <w:rPr/>
        <w:t xml:space="preserve">Liste de chantiers comprenant les informations suivantes : </w:t>
      </w:r>
    </w:p>
    <w:p>
      <w:pPr>
        <w:pPr/>
        <w:numPr>
          <w:ilvl w:val="0"/>
          <w:numId w:val="23"/>
        </w:numPr>
      </w:pPr>
      <w:r>
        <w:rPr/>
        <w:t xml:space="preserve">Coordonnées de l'applicateur ; </w:t>
      </w:r>
    </w:p>
    <w:p>
      <w:pPr>
        <w:pPr/>
        <w:numPr>
          <w:ilvl w:val="0"/>
          <w:numId w:val="23"/>
        </w:numPr>
      </w:pPr>
      <w:r>
        <w:rPr/>
        <w:t xml:space="preserve">Coordonnées du contrôleur technique ;</w:t>
      </w:r>
    </w:p>
    <w:p>
      <w:pPr>
        <w:pPr/>
        <w:numPr>
          <w:ilvl w:val="0"/>
          <w:numId w:val="23"/>
        </w:numPr>
      </w:pPr>
      <w:r>
        <w:rPr/>
        <w:t xml:space="preserve">Coordonnées maître d'ouvrage ;</w:t>
      </w:r>
    </w:p>
    <w:p>
      <w:pPr>
        <w:pPr/>
        <w:numPr>
          <w:ilvl w:val="0"/>
          <w:numId w:val="23"/>
        </w:numPr>
      </w:pPr>
      <w:r>
        <w:rPr/>
        <w:t xml:space="preserve">Date de réalisation ;</w:t>
      </w:r>
    </w:p>
    <w:p>
      <w:pPr>
        <w:pPr/>
        <w:numPr>
          <w:ilvl w:val="0"/>
          <w:numId w:val="23"/>
        </w:numPr>
      </w:pPr>
      <w:r>
        <w:rPr/>
        <w:t xml:space="preserve">Zone géographique (France européenne/DROM, climat de plaine/montagne) ;</w:t>
      </w:r>
    </w:p>
    <w:p>
      <w:pPr>
        <w:pPr/>
        <w:numPr>
          <w:ilvl w:val="0"/>
          <w:numId w:val="23"/>
        </w:numPr>
      </w:pPr>
      <w:r>
        <w:rPr/>
        <w:t xml:space="preserve">Type de bâtiment / élément porteur ; </w:t>
      </w:r>
    </w:p>
    <w:p>
      <w:pPr>
        <w:pPr/>
        <w:numPr>
          <w:ilvl w:val="0"/>
          <w:numId w:val="23"/>
        </w:numPr>
      </w:pPr>
      <w:r>
        <w:rPr/>
        <w:t xml:space="preserve">Type de travaux ; </w:t>
      </w:r>
    </w:p>
    <w:p>
      <w:pPr>
        <w:pPr/>
        <w:numPr>
          <w:ilvl w:val="0"/>
          <w:numId w:val="23"/>
        </w:numPr>
      </w:pPr>
      <w:r>
        <w:rPr/>
        <w:t xml:space="preserve">Surface toiture ; </w:t>
      </w:r>
    </w:p>
    <w:p>
      <w:pPr>
        <w:pPr/>
        <w:numPr>
          <w:ilvl w:val="0"/>
          <w:numId w:val="23"/>
        </w:numPr>
      </w:pPr>
      <w:r>
        <w:rPr/>
        <w:t xml:space="preserve">Type de protection ; </w:t>
      </w:r>
    </w:p>
    <w:p>
      <w:pPr>
        <w:pPr/>
        <w:numPr>
          <w:ilvl w:val="0"/>
          <w:numId w:val="23"/>
        </w:numPr>
      </w:pPr>
      <w:r>
        <w:rPr/>
        <w:t xml:space="preserve">Type de pose ; </w:t>
      </w:r>
    </w:p>
    <w:p>
      <w:pPr>
        <w:pPr/>
        <w:numPr>
          <w:ilvl w:val="0"/>
          <w:numId w:val="23"/>
        </w:numPr>
      </w:pPr>
      <w:r>
        <w:rPr/>
        <w:t xml:space="preserve">Nombre de lit(s) de panneaux isolant.</w:t>
      </w:r>
    </w:p>
    <w:p>
      <w:pPr/>
      <w:r>
        <w:rPr/>
        <w:t xml:space="preserve">Cette liste doit recouvrir les différentes applications visées et la gamme d'épaisseur revendiquée (épaisseur minimale et maximale).</w:t>
      </w:r>
    </w:p>
    <w:p>
      <w:pPr>
        <w:ind w:left="720" w:right="0"/>
      </w:pPr>
      <w:r>
        <w:rPr>
          <w:rStyle w:val="font_h2"/>
        </w:rPr>
        <w:t xml:space="preserve">4.7. Assistance Technique</w:t>
      </w:r>
    </w:p>
    <w:p>
      <w:pPr/>
      <w:r>
        <w:rPr/>
        <w:t xml:space="preserve">Validé par le Groupe Spécialisé le 27/03/2017</w:t>
      </w:r>
    </w:p>
    <w:p>
      <w:pPr/>
      <w:r>
        <w:rPr>
          <w:b/>
          <w:bCs/>
        </w:rPr>
        <w:t xml:space="preserve">Description</w:t>
      </w:r>
    </w:p>
    <w:p>
      <w:pPr/>
      <w:r>
        <w:rPr/>
        <w:t xml:space="preserve">Contenu de l'assistance technique apportée par le demandeur sur demande de l'entreprise de pose</w:t>
      </w:r>
    </w:p>
    <w:p>
      <w:pPr/>
      <w:r>
        <w:rPr>
          <w:rStyle w:val="font_h1"/>
        </w:rPr>
        <w:t xml:space="preserve">5. Autres justifications</w:t>
      </w:r>
    </w:p>
    <w:p>
      <w:pPr>
        <w:ind w:left="720" w:right="0"/>
      </w:pPr>
      <w:r>
        <w:rPr>
          <w:rStyle w:val="font_h2"/>
        </w:rPr>
        <w:t xml:space="preserve">5.1. Exemple de calcul thermique</w:t>
      </w:r>
    </w:p>
    <w:p>
      <w:pPr/>
      <w:r>
        <w:rPr/>
        <w:t xml:space="preserve">Validé par le Groupe Spécialisé le 15/12/2017</w:t>
      </w:r>
    </w:p>
    <w:p>
      <w:pPr/>
      <w:r>
        <w:rPr>
          <w:b/>
          <w:bCs/>
        </w:rPr>
        <w:t xml:space="preserve">Description</w:t>
      </w:r>
    </w:p>
    <w:p>
      <w:pPr/>
      <w:r>
        <w:rPr/>
        <w:t xml:space="preserve">Exemple de calcul du coefficient Up avec fixations mécaniques.</w:t>
      </w:r>
    </w:p>
    <w:p>
      <w:pPr/>
      <w:r>
        <w:rPr>
          <w:b/>
          <w:bCs/>
        </w:rPr>
        <w:t xml:space="preserve">Justification</w:t>
      </w:r>
    </w:p>
    <w:p>
      <w:pPr/>
      <w:r>
        <w:rPr/>
        <w:t xml:space="preserve">Fournir un exemple de calcul basée sur les Règles de calcul Th-U en prenant l'épaisseur maximale revendiquée.</w:t>
      </w:r>
    </w:p>
    <w:p>
      <w:pPr>
        <w:ind w:left="720" w:right="0"/>
      </w:pPr>
      <w:r>
        <w:rPr>
          <w:rStyle w:val="font_h2"/>
        </w:rPr>
        <w:t xml:space="preserve">5.2. Aspects environnementaux</w:t>
      </w:r>
    </w:p>
    <w:p>
      <w:pPr/>
      <w:r>
        <w:rPr/>
        <w:t xml:space="preserve">Validé par le Groupe Spécialisé le 27/03/2017</w:t>
      </w:r>
    </w:p>
    <w:p>
      <w:pPr/>
      <w:r>
        <w:rPr>
          <w:b/>
          <w:bCs/>
        </w:rPr>
        <w:t xml:space="preserve">Description</w:t>
      </w:r>
    </w:p>
    <w:p>
      <w:pPr/>
      <w:r>
        <w:rPr/>
        <w:t xml:space="preserve">Impacts environnementaux des ouvrages.</w:t>
      </w:r>
    </w:p>
    <w:p>
      <w:pPr/>
      <w:r>
        <w:rPr>
          <w:b/>
          <w:bCs/>
        </w:rPr>
        <w:t xml:space="preserve">Justification</w:t>
      </w:r>
    </w:p>
    <w:p>
      <w:pPr/>
      <w:r>
        <w:rPr/>
        <w:t xml:space="preserve">Déclaration Environnementale.</w:t>
      </w:r>
    </w:p>
    <w:p>
      <w:pPr>
        <w:ind w:left="720" w:right="0"/>
      </w:pPr>
      <w:r>
        <w:rPr>
          <w:rStyle w:val="font_h2"/>
        </w:rPr>
        <w:t xml:space="preserve">5.3. Prévention des accidents et des risques lors de la mise en oeuvre et de l'entretien</w:t>
      </w:r>
    </w:p>
    <w:p>
      <w:pPr/>
      <w:r>
        <w:rPr/>
        <w:t xml:space="preserve">Validé par le Groupe Spécialisé le 27/03/2017</w:t>
      </w:r>
    </w:p>
    <w:p>
      <w:pPr/>
      <w:r>
        <w:rPr>
          <w:b/>
          <w:bCs/>
        </w:rPr>
        <w:t xml:space="preserve">Description</w:t>
      </w:r>
    </w:p>
    <w:p>
      <w:pPr/>
      <w:r>
        <w:rPr/>
        <w:t xml:space="preserve">Informations à disposition de l'utilisateur du procédé sur les dangers liés à son utilisation et sur les mesures préventives à adopter pour les éviter, notamment le port d'équipements de protection individuelle (EPI).</w:t>
      </w:r>
    </w:p>
    <w:p>
      <w:pPr/>
      <w:r>
        <w:rPr>
          <w:b/>
          <w:bCs/>
        </w:rPr>
        <w:t xml:space="preserve">Justification</w:t>
      </w:r>
    </w:p>
    <w:p>
      <w:pPr/>
      <w:r>
        <w:rPr/>
        <w:t xml:space="preserve">Fiche de Données Sécurité (FDS) du produit/procédé.</w:t>
      </w:r>
    </w:p>
    <w:p>
      <w:pPr>
        <w:ind w:left="720" w:right="0"/>
      </w:pPr>
      <w:r>
        <w:rPr>
          <w:rStyle w:val="font_h2"/>
        </w:rPr>
        <w:t xml:space="preserve">5.4. Aspects sanitaires</w:t>
      </w:r>
    </w:p>
    <w:p>
      <w:pPr/>
      <w:r>
        <w:rPr/>
        <w:t xml:space="preserve">Validé par le Groupe Spécialisé le 31/08/2017</w:t>
      </w:r>
    </w:p>
    <w:p>
      <w:pPr/>
      <w:r>
        <w:rPr>
          <w:b/>
          <w:bCs/>
        </w:rPr>
        <w:t xml:space="preserve">Description</w:t>
      </w:r>
    </w:p>
    <w:p>
      <w:pPr/>
      <w:r>
        <w:rPr/>
        <w:t xml:space="preserve">Respect de la règlementation, et notamment l'ensemble des obligations réglementaires relatives aux substances dangereuses, pour leur fabrication, leur intégration dans les ouvrages du domaine d'emploi et l'exploitation de ceux-ci.</w:t>
      </w:r>
    </w:p>
    <w:p>
      <w:pPr/>
      <w:r>
        <w:rPr>
          <w:b/>
          <w:bCs/>
        </w:rPr>
        <w:t xml:space="preserve">Justification</w:t>
      </w:r>
    </w:p>
    <w:p>
      <w:pPr/>
      <w:r>
        <w:rPr/>
        <w:t xml:space="preserve">Engagement écrit du titulaire, porté par les Conditions Particulières signées lors de la demande d'ATec.</w:t>
      </w:r>
    </w:p>
    <w:p>
      <w:pPr/>
      <w:r>
        <w:rPr>
          <w:rStyle w:val="font_h1"/>
        </w:rPr>
        <w:t xml:space="preserve">6.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7. Tableaux et Figures</w:t>
      </w:r>
    </w:p>
    <w:p>
      <w:pPr>
        <w:ind w:left="720" w:right="0"/>
      </w:pPr>
      <w:r>
        <w:rPr>
          <w:rStyle w:val="font_h2"/>
        </w:rPr>
        <w:t xml:space="preserve">7.1.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p>
      <w:pPr/>
      <w:r>
        <w:rPr>
          <w:rStyle w:val="font_h1"/>
        </w:rPr>
        <w:t xml:space="preserve">8. Résultats expérimentaux</w:t>
      </w:r>
    </w:p>
    <w:p>
      <w:pPr>
        <w:ind w:left="720" w:right="0"/>
      </w:pPr>
      <w:r>
        <w:rPr>
          <w:rStyle w:val="font_h2"/>
        </w:rPr>
        <w:t xml:space="preserve">8.1.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ind w:left="720" w:right="0"/>
      </w:pPr>
      <w:r>
        <w:rPr>
          <w:rStyle w:val="font_h2"/>
        </w:rPr>
        <w:t xml:space="preserve">8.2. Essai de classe</w:t>
      </w:r>
    </w:p>
    <w:p>
      <w:pPr/>
      <w:r>
        <w:rPr/>
        <w:t xml:space="preserve">Validé par le Groupe Spécialisé le 10/05/2021</w:t>
      </w:r>
    </w:p>
    <w:p>
      <w:pPr/>
      <w:r>
        <w:rPr>
          <w:b/>
          <w:bCs/>
        </w:rPr>
        <w:t xml:space="preserve">Description</w:t>
      </w:r>
    </w:p>
    <w:p>
      <w:pPr/>
      <w:r>
        <w:rPr/>
        <w:t xml:space="preserve">Les essais de classes présentés lors de l’examen des demandes de DTA d’isolants support d’étanchéité devront être réalisés avec des échantillons reflétant la production moyenne du fabricant : les valeurs d’essais d’identification en compression à 10% ne devront pas présenter un écart significatif par rapport à la valeur déclarée par le fabricant. Cet écart est à mesurer en fonction de la moyenne des résultats des autocontrôles du fabricant et les écarts types.</w:t>
      </w:r>
    </w:p>
    <w:p>
      <w:pPr/>
      <w:r>
        <w:rPr>
          <w:b/>
          <w:bCs/>
        </w:rPr>
        <w:t xml:space="preserve">Critères d'évaluation</w:t>
      </w:r>
    </w:p>
    <w:p>
      <w:pPr/>
      <w:r>
        <w:rPr/>
        <w:t xml:space="preserve">Les essais de classes présentés lors de l’examen des demandes de DTA d’isolants support d’étanchéité devront être réalisés avec des échantillons reflétant la production moyenne du fabricant : les valeurs d’essais d’identification en compression à 10% ne devront pas présenter un écart significatif par rapport à la valeur déclarée par le fabricant. Cet écart est à mesurer en fonction de la moyenne des résultats des autocontrôles du fabricant et les écarts types.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F372F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700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C63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660E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BB53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FA88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AD0B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FC6E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D391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92BF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BE66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D3B1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412E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45A5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F94C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2026-07-17T01:33:21+02:00</dcterms:created>
  <dcterms:modified xsi:type="dcterms:W3CDTF">2026-07-17T01:33:21+02:00</dcterms:modified>
</cp:coreProperties>
</file>

<file path=docProps/custom.xml><?xml version="1.0" encoding="utf-8"?>
<Properties xmlns="http://schemas.openxmlformats.org/officeDocument/2006/custom-properties" xmlns:vt="http://schemas.openxmlformats.org/officeDocument/2006/docPropsVTypes"/>
</file>