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25/04/2024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Panneau en laine de verre (MWG) nue non porteur support d’étanchéité</w:t>
      </w:r>
    </w:p>
    <w:p>
      <w:pPr/>
      <w:r>
        <w:rPr>
          <w:rStyle w:val="font_h1"/>
        </w:rPr>
        <w:t xml:space="preserve">1. Principe et domaine d'emploi</w:t>
      </w:r>
    </w:p>
    <w:p>
      <w:pPr>
        <w:ind w:left="720" w:right="0"/>
      </w:pPr>
      <w:r>
        <w:rPr>
          <w:rStyle w:val="font_h2"/>
        </w:rPr>
        <w:t xml:space="preserve">1.1. Description succincte du procédé</w:t>
      </w:r>
    </w:p>
    <w:p>
      <w:pPr>
        <w:ind w:left="720" w:right="0"/>
      </w:pPr>
      <w:r>
        <w:rPr>
          <w:rStyle w:val="font_h2"/>
        </w:rPr>
        <w:t xml:space="preserve">1.2. Domaine d'emploi</w:t>
      </w:r>
    </w:p>
    <w:p>
      <w:pPr>
        <w:ind w:left="1440" w:right="0"/>
      </w:pPr>
      <w:r>
        <w:rPr>
          <w:rStyle w:val="font_h3"/>
        </w:rPr>
        <w:t xml:space="preserve">1.2.1. Généralités</w:t>
      </w:r>
    </w:p>
    <w:p>
      <w:pPr>
        <w:ind w:left="720" w:right="0"/>
      </w:pPr>
      <w:r>
        <w:rPr>
          <w:rStyle w:val="font_h2"/>
        </w:rPr>
        <w:t xml:space="preserve">1.3. Résistance au vent</w:t>
      </w:r>
    </w:p>
    <w:p>
      <w:pPr>
        <w:ind w:left="720" w:right="0"/>
      </w:pPr>
      <w:r>
        <w:rPr>
          <w:rStyle w:val="font_h2"/>
        </w:rPr>
        <w:t xml:space="preserve">1.4. Marquage CE</w:t>
      </w:r>
    </w:p>
    <w:p>
      <w:pPr/>
      <w:r>
        <w:rPr>
          <w:rStyle w:val="font_h1"/>
        </w:rPr>
        <w:t xml:space="preserve">2. Description des produits</w:t>
      </w:r>
    </w:p>
    <w:p>
      <w:pPr>
        <w:ind w:left="720" w:right="0"/>
      </w:pPr>
      <w:r>
        <w:rPr>
          <w:rStyle w:val="font_h2"/>
        </w:rPr>
        <w:t xml:space="preserve">2.1. Désignation commerciale</w:t>
      </w:r>
    </w:p>
    <w:p>
      <w:pPr>
        <w:ind w:left="720" w:right="0"/>
      </w:pPr>
      <w:r>
        <w:rPr>
          <w:rStyle w:val="font_h2"/>
        </w:rPr>
        <w:t xml:space="preserve">2.2. Composition du produit</w:t>
      </w:r>
    </w:p>
    <w:p>
      <w:pPr>
        <w:ind w:left="720" w:right="0"/>
      </w:pPr>
      <w:r>
        <w:rPr>
          <w:rStyle w:val="font_h2"/>
        </w:rPr>
        <w:t xml:space="preserve">2.3. Caractéristiques d'identification du produit</w:t>
      </w:r>
    </w:p>
    <w:p>
      <w:pPr>
        <w:ind w:left="720" w:right="0"/>
      </w:pPr>
      <w:r>
        <w:rPr>
          <w:rStyle w:val="font_h2"/>
        </w:rPr>
        <w:t xml:space="preserve">2.4. Caractéristiques d'aptitude à l'emploi du produit</w:t>
      </w:r>
    </w:p>
    <w:p>
      <w:pPr>
        <w:ind w:left="1440" w:right="0"/>
      </w:pPr>
      <w:r>
        <w:rPr>
          <w:rStyle w:val="font_h3"/>
        </w:rPr>
        <w:t xml:space="preserve">2.4.1. Comportement sous sollicitations mécaniques</w:t>
      </w:r>
    </w:p>
    <w:p>
      <w:pPr>
        <w:ind w:left="2160" w:right="0"/>
      </w:pPr>
      <w:r>
        <w:rPr>
          <w:rStyle w:val="font_h3"/>
        </w:rPr>
        <w:t xml:space="preserve">2.4.1.1. Echantillons choisis pour les essais</w:t>
      </w:r>
    </w:p>
    <w:p>
      <w:pPr/>
      <w:r>
        <w:rPr/>
        <w:t xml:space="preserve">Validé par le Groupe Spécialisé le 11/05/2021</w:t>
      </w:r>
    </w:p>
    <w:p>
      <w:pPr/>
      <w:r>
        <w:rPr>
          <w:b/>
          <w:bCs/>
        </w:rPr>
        <w:t xml:space="preserve">Description</w:t>
      </w:r>
    </w:p>
    <w:p>
      <w:pPr/>
      <w:r>
        <w:rPr/>
        <w:t xml:space="preserve">Les essais présentés lors de l’examen des demandes de DTA d’isolants support d’étanchéité devront être réalisés avec des échantillons reflétant la production moyenne du fabricant : les essais doivent être réalisés sur des échantillons dont la masse volumique se situe dans la moyenne basse de la production.</w:t>
      </w:r>
    </w:p>
    <w:p>
      <w:pPr>
        <w:ind w:left="2160" w:right="0"/>
      </w:pPr>
      <w:r>
        <w:rPr>
          <w:rStyle w:val="font_h3"/>
        </w:rPr>
        <w:t xml:space="preserve">2.4.1.2. Essai de comportement de l'isolant sous charges statiques réparties et températures élevées (essai de classe)</w:t>
      </w:r>
    </w:p>
    <w:p>
      <w:pPr>
        <w:ind w:left="2160" w:right="0"/>
      </w:pPr>
      <w:r>
        <w:rPr>
          <w:rStyle w:val="font_h3"/>
        </w:rPr>
        <w:t xml:space="preserve">2.4.1.3. Essai de comportement de l'isolant sous charge maintenue en température</w:t>
      </w:r>
    </w:p>
    <w:p>
      <w:pPr>
        <w:ind w:left="2160" w:right="0"/>
      </w:pPr>
      <w:r>
        <w:rPr>
          <w:rStyle w:val="font_h3"/>
        </w:rPr>
        <w:t xml:space="preserve">2.4.1.4. Particularité pour les panneaux de classe B</w:t>
      </w:r>
    </w:p>
    <w:p>
      <w:pPr/>
      <w:r>
        <w:rPr/>
        <w:t xml:space="preserve">Validé par le Groupe Spécialisé le 13/12/2021</w:t>
      </w:r>
    </w:p>
    <w:p>
      <w:pPr/>
      <w:r>
        <w:rPr>
          <w:b/>
          <w:bCs/>
        </w:rPr>
        <w:t xml:space="preserve">Description</w:t>
      </w:r>
    </w:p>
    <w:p>
      <w:pPr/>
      <w:r>
        <w:rPr/>
        <w:t xml:space="preserve">L’essai sous charge ponctuelle déterminé à partir de l’essai de comportement sous charge maintenue en température 50 °C pour une déformation maximale de 2 mm à 100 000 h ne sera plus obligatoire pour les isolants de classe B</w:t>
      </w:r>
    </w:p>
    <w:p>
      <w:pPr>
        <w:ind w:left="2160" w:right="0"/>
      </w:pPr>
      <w:r>
        <w:rPr>
          <w:rStyle w:val="font_h3"/>
        </w:rPr>
        <w:t xml:space="preserve">2.4.1.5. Essai porte à faux</w:t>
      </w:r>
    </w:p>
    <w:p>
      <w:pPr>
        <w:ind w:left="2160" w:right="0"/>
      </w:pPr>
      <w:r>
        <w:rPr>
          <w:rStyle w:val="font_h3"/>
        </w:rPr>
        <w:t xml:space="preserve">2.4.1.6. Essai porte à faux (Ohn  70mm)</w:t>
      </w:r>
    </w:p>
    <w:p>
      <w:pPr>
        <w:ind w:left="2160" w:right="0"/>
      </w:pPr>
      <w:r>
        <w:rPr>
          <w:rStyle w:val="font_h3"/>
        </w:rPr>
        <w:t xml:space="preserve">2.4.1.7. Essai sous charges concentrées à mi-point d'une portée libre</w:t>
      </w:r>
    </w:p>
    <w:p>
      <w:pPr>
        <w:ind w:left="1440" w:right="0"/>
      </w:pPr>
      <w:r>
        <w:rPr>
          <w:rStyle w:val="font_h3"/>
        </w:rPr>
        <w:t xml:space="preserve">2.4.2. Comportement à l'eau</w:t>
      </w:r>
    </w:p>
    <w:p>
      <w:pPr>
        <w:ind w:left="2160" w:right="0"/>
      </w:pPr>
      <w:r>
        <w:rPr>
          <w:rStyle w:val="font_h3"/>
        </w:rPr>
        <w:t xml:space="preserve">2.4.2.1. Essai de compression après immersion</w:t>
      </w:r>
    </w:p>
    <w:p>
      <w:pPr>
        <w:ind w:left="2160" w:right="0"/>
      </w:pPr>
      <w:r>
        <w:rPr>
          <w:rStyle w:val="font_h3"/>
        </w:rPr>
        <w:t xml:space="preserve">2.4.2.2. Essai de traction perpendiculaire aux faces après immersion</w:t>
      </w:r>
    </w:p>
    <w:p>
      <w:pPr>
        <w:ind w:left="2160" w:right="0"/>
      </w:pPr>
      <w:r>
        <w:rPr>
          <w:rStyle w:val="font_h3"/>
        </w:rPr>
        <w:t xml:space="preserve">2.4.2.3. Essai de traction perpendiculaire aux faces après traitement d'humidification</w:t>
      </w:r>
    </w:p>
    <w:p>
      <w:pPr>
        <w:ind w:left="1440" w:right="0"/>
      </w:pPr>
      <w:r>
        <w:rPr>
          <w:rStyle w:val="font_h3"/>
        </w:rPr>
        <w:t xml:space="preserve">2.4.3. Compatibilité de colle</w:t>
      </w:r>
    </w:p>
    <w:p>
      <w:pPr>
        <w:ind w:left="720" w:right="0"/>
      </w:pPr>
      <w:r>
        <w:rPr>
          <w:rStyle w:val="font_h2"/>
        </w:rPr>
        <w:t xml:space="preserve">2.5. Matériaux pour écran pare-vapeur</w:t>
      </w:r>
    </w:p>
    <w:p>
      <w:pPr>
        <w:ind w:left="720" w:right="0"/>
      </w:pPr>
      <w:r>
        <w:rPr>
          <w:rStyle w:val="font_h2"/>
        </w:rPr>
        <w:t xml:space="preserve">2.6. Accessoires de fixation</w:t>
      </w:r>
    </w:p>
    <w:p>
      <w:pPr>
        <w:ind w:left="720" w:right="0"/>
      </w:pPr>
      <w:r>
        <w:rPr>
          <w:rStyle w:val="font_h2"/>
        </w:rPr>
        <w:t xml:space="preserve">2.7. Matériaux d'étanchéité</w:t>
      </w:r>
    </w:p>
    <w:p>
      <w:pPr/>
      <w:r>
        <w:rPr>
          <w:rStyle w:val="font_h1"/>
        </w:rPr>
        <w:t xml:space="preserve">3. Fabrication et controle</w:t>
      </w:r>
    </w:p>
    <w:p>
      <w:pPr>
        <w:ind w:left="720" w:right="0"/>
      </w:pPr>
      <w:r>
        <w:rPr>
          <w:rStyle w:val="font_h2"/>
        </w:rPr>
        <w:t xml:space="preserve">3.1. Usine de fabrication</w:t>
      </w:r>
    </w:p>
    <w:p>
      <w:pPr>
        <w:ind w:left="720" w:right="0"/>
      </w:pPr>
      <w:r>
        <w:rPr>
          <w:rStyle w:val="font_h2"/>
        </w:rPr>
        <w:t xml:space="preserve">3.2. Description de la fabrication</w:t>
      </w:r>
    </w:p>
    <w:p>
      <w:pPr>
        <w:ind w:left="720" w:right="0"/>
      </w:pPr>
      <w:r>
        <w:rPr>
          <w:rStyle w:val="font_h2"/>
        </w:rPr>
        <w:t xml:space="preserve">3.3. Contrôles de fabrication</w:t>
      </w:r>
    </w:p>
    <w:p>
      <w:pPr/>
      <w:r>
        <w:rPr>
          <w:rStyle w:val="font_h1"/>
        </w:rPr>
        <w:t xml:space="preserve">4. Mise en oeuvre</w:t>
      </w:r>
    </w:p>
    <w:p>
      <w:pPr>
        <w:ind w:left="720" w:right="0"/>
      </w:pPr>
      <w:r>
        <w:rPr>
          <w:rStyle w:val="font_h2"/>
        </w:rPr>
        <w:t xml:space="preserve">4.1. Mise en oeuvre du pare-vapeur</w:t>
      </w:r>
    </w:p>
    <w:p>
      <w:pPr>
        <w:ind w:left="720" w:right="0"/>
      </w:pPr>
      <w:r>
        <w:rPr>
          <w:rStyle w:val="font_h2"/>
        </w:rPr>
        <w:t xml:space="preserve">4.2. Mise en oeuvre sur des supports constitués d'anciens revêtements d'étanchéité</w:t>
      </w:r>
    </w:p>
    <w:p>
      <w:pPr>
        <w:ind w:left="720" w:right="0"/>
      </w:pPr>
      <w:r>
        <w:rPr>
          <w:rStyle w:val="font_h2"/>
        </w:rPr>
        <w:t xml:space="preserve">4.3. Mise en oeuvre des panneaux isolants</w:t>
      </w:r>
    </w:p>
    <w:p>
      <w:pPr>
        <w:ind w:left="720" w:right="0"/>
      </w:pPr>
      <w:r>
        <w:rPr>
          <w:rStyle w:val="font_h2"/>
        </w:rPr>
        <w:t xml:space="preserve">4.4. Mise en oeuvre du revêtement d'étanchéité</w:t>
      </w:r>
    </w:p>
    <w:p>
      <w:pPr>
        <w:ind w:left="720" w:right="0"/>
      </w:pPr>
      <w:r>
        <w:rPr>
          <w:rStyle w:val="font_h2"/>
        </w:rPr>
        <w:t xml:space="preserve">4.5. Mise en oeuvre de la protection d'étanchéité</w:t>
      </w:r>
    </w:p>
    <w:p>
      <w:pPr>
        <w:ind w:left="720" w:right="0"/>
      </w:pPr>
      <w:r>
        <w:rPr>
          <w:rStyle w:val="font_h2"/>
        </w:rPr>
        <w:t xml:space="preserve">4.6. Chantiers de référence</w:t>
      </w:r>
    </w:p>
    <w:p>
      <w:pPr>
        <w:ind w:left="720" w:right="0"/>
      </w:pPr>
      <w:r>
        <w:rPr>
          <w:rStyle w:val="font_h2"/>
        </w:rPr>
        <w:t xml:space="preserve">4.7. Assistance Technique</w:t>
      </w:r>
    </w:p>
    <w:p>
      <w:pPr/>
      <w:r>
        <w:rPr>
          <w:rStyle w:val="font_h1"/>
        </w:rPr>
        <w:t xml:space="preserve">5. Autres justifications</w:t>
      </w:r>
    </w:p>
    <w:p>
      <w:pPr>
        <w:ind w:left="720" w:right="0"/>
      </w:pPr>
      <w:r>
        <w:rPr>
          <w:rStyle w:val="font_h2"/>
        </w:rPr>
        <w:t xml:space="preserve">5.1. Exemple de calcul thermique</w:t>
      </w:r>
    </w:p>
    <w:p>
      <w:pPr>
        <w:ind w:left="720" w:right="0"/>
      </w:pPr>
      <w:r>
        <w:rPr>
          <w:rStyle w:val="font_h2"/>
        </w:rPr>
        <w:t xml:space="preserve">5.2. Aspects environnementaux</w:t>
      </w:r>
    </w:p>
    <w:p>
      <w:pPr>
        <w:ind w:left="720" w:right="0"/>
      </w:pPr>
      <w:r>
        <w:rPr>
          <w:rStyle w:val="font_h2"/>
        </w:rPr>
        <w:t xml:space="preserve">5.3. Prévention des accidents et des risques lors de la mise en oeuvre et de l'entretien</w:t>
      </w:r>
    </w:p>
    <w:p>
      <w:pPr>
        <w:ind w:left="720" w:right="0"/>
      </w:pPr>
      <w:r>
        <w:rPr>
          <w:rStyle w:val="font_h2"/>
        </w:rPr>
        <w:t xml:space="preserve">5.4. Aspects sanitaires</w:t>
      </w:r>
    </w:p>
    <w:p>
      <w:pPr/>
      <w:r>
        <w:rPr>
          <w:rStyle w:val="font_h1"/>
        </w:rPr>
        <w:t xml:space="preserve">6. Références</w:t>
      </w:r>
    </w:p>
    <w:p>
      <w:pPr/>
      <w:r>
        <w:rPr/>
        <w:t xml:space="preserve">Validé par le Groupe Spécialisé le 30/04/2018</w:t>
      </w:r>
    </w:p>
    <w:p>
      <w:pPr/>
      <w:r>
        <w:rPr>
          <w:b/>
          <w:bCs/>
        </w:rPr>
        <w:t xml:space="preserve">Description</w:t>
      </w:r>
    </w:p>
    <w:p>
      <w:pPr/>
      <w:r>
        <w:rPr/>
        <w:t xml:space="preserve">Les références de chantier doivent être détaillées et ne peuvent se limiter à une extraction des ventes. 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 La référence et l'adresse du chantier, L'année de réalisation, La surface de toiture, La destination de toiture, L'élément porteur, La description du complexe d'étanchéité, Le nom et les coordonnées du maître d'ouvrage, Le nom et les coordonnées de l'entreprise de pose du complexe d'étanchéité, Le nom et les coordonnées du contrôleur technique, 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Justification</w:t>
      </w:r>
    </w:p>
    <w:p>
      <w:pPr/>
      <w:r>
        <w:rPr/>
        <w:t xml:space="preserve">Liste de références chantiers en lien avec les préconisations du GS 5.2</w:t>
      </w:r>
    </w:p>
    <w:p>
      <w:pPr/>
      <w:r>
        <w:rPr>
          <w:rStyle w:val="font_h1"/>
        </w:rPr>
        <w:t xml:space="preserve">7. Résultats expérimentaux</w:t>
      </w:r>
    </w:p>
    <w:p>
      <w:pPr/>
      <w:r>
        <w:rPr/>
        <w:t xml:space="preserve">Validé par le Groupe Spécialisé le 11/10/2021</w:t>
      </w:r>
    </w:p>
    <w:p>
      <w:pPr/>
      <w:r>
        <w:rPr>
          <w:b/>
          <w:bCs/>
        </w:rPr>
        <w:t xml:space="preserve">Description</w:t>
      </w:r>
    </w:p>
    <w:p>
      <w:pPr/>
      <w:r>
        <w:rPr/>
        <w:t xml:space="preserve">L’historique des rapports d’essais réalisés devra être conservé au paragraphe « Résultats expérimentaux ».</w:t>
      </w:r>
    </w:p>
    <w:p>
      <w:pPr/>
      <w:r>
        <w:rPr>
          <w:rStyle w:val="font_h1"/>
        </w:rPr>
        <w:t xml:space="preserve">8. Tableaux et figures</w:t>
      </w:r>
    </w:p>
    <w:p>
      <w:pPr>
        <w:ind w:left="720" w:right="0"/>
      </w:pPr>
      <w:r>
        <w:rPr>
          <w:rStyle w:val="font_h2"/>
        </w:rPr>
        <w:t xml:space="preserve">8.1. Figures</w:t>
      </w:r>
    </w:p>
    <w:p>
      <w:pPr/>
      <w:r>
        <w:rPr/>
        <w:t xml:space="preserve">Validé par le Groupe Spécialisé le 14/03/2022</w:t>
      </w:r>
    </w:p>
    <w:p>
      <w:pPr/>
      <w:r>
        <w:rPr>
          <w:b/>
          <w:bCs/>
        </w:rPr>
        <w:t xml:space="preserve">Description</w:t>
      </w:r>
    </w:p>
    <w:p>
      <w:pPr/>
      <w:r>
        <w:rPr/>
        <w:t xml:space="preserve">Les schémas et figures présentés dans les dossiers technique dervont être réalisés avec un logiciel approprié pour le dessin technique du bâtiment ou industriel.</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2024-04-25T02:21:57+02:00</dcterms:created>
  <dcterms:modified xsi:type="dcterms:W3CDTF">2024-04-25T02:21:57+02:00</dcterms:modified>
</cp:coreProperties>
</file>

<file path=docProps/custom.xml><?xml version="1.0" encoding="utf-8"?>
<Properties xmlns="http://schemas.openxmlformats.org/officeDocument/2006/custom-properties" xmlns:vt="http://schemas.openxmlformats.org/officeDocument/2006/docPropsVTypes"/>
</file>