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Style w:val="font_default"/>
        </w:rPr>
        <w:t xml:space="preserve">Document entériné par le Groupe Spécialisé n° 5.2 - Édité le 05/09/2026</w:t>
      </w:r>
    </w:p>
    <w:p>
      <w:pPr>
        <w:pStyle w:val="paragraph_centered"/>
      </w:pPr>
      <w:r>
        <w:rPr>
          <w:rStyle w:val="font_h1"/>
        </w:rPr>
        <w:t xml:space="preserve">Liste minimale des éléments habituellement demandés par le Groupe Spécialisé</w:t>
      </w:r>
    </w:p>
    <w:p>
      <w:pPr/>
      <w:r>
        <w:rPr>
          <w:rStyle w:val="font_h2"/>
        </w:rPr>
        <w:t xml:space="preserve">Groupe Spécialisé n° 5.2 « Produits et procédés d'étanchéité de toitures-terrasses, de parois enterrées et cuvelage »</w:t>
      </w:r>
    </w:p>
    <w:p>
      <w:pPr/>
      <w:r>
        <w:rPr>
          <w:rStyle w:val="font_default"/>
        </w:rPr>
        <w:t xml:space="preserve">Famille de produits ou procédés : </w:t>
      </w:r>
      <w:r>
        <w:rPr>
          <w:rStyle w:val="font_h3"/>
        </w:rPr>
        <w:t xml:space="preserve">Panneau en polystyrène expansé (EPS) non porteur support d’étanchéité sous protection lourde</w:t>
      </w:r>
    </w:p>
    <w:p>
      <w:pPr/>
      <w:r>
        <w:rPr>
          <w:rStyle w:val="font_h1"/>
        </w:rPr>
        <w:t xml:space="preserve">1. Principe et domaine d'emploi</w:t>
      </w:r>
    </w:p>
    <w:p>
      <w:pPr>
        <w:ind w:left="720" w:right="0"/>
      </w:pPr>
      <w:r>
        <w:rPr>
          <w:rStyle w:val="font_h2"/>
        </w:rPr>
        <w:t xml:space="preserve">1.1. Description succincte du procédé</w:t>
      </w:r>
    </w:p>
    <w:p>
      <w:pPr>
        <w:ind w:left="720" w:right="0"/>
      </w:pPr>
      <w:r>
        <w:rPr>
          <w:rStyle w:val="font_h2"/>
        </w:rPr>
        <w:t xml:space="preserve">1.2. Domaine d'emploi</w:t>
      </w:r>
    </w:p>
    <w:p>
      <w:pPr>
        <w:ind w:left="1440" w:right="0"/>
      </w:pPr>
      <w:r>
        <w:rPr>
          <w:rStyle w:val="font_h3"/>
        </w:rPr>
        <w:t xml:space="preserve">1.2.1. Généralités</w:t>
      </w:r>
    </w:p>
    <w:p>
      <w:pPr>
        <w:ind w:left="720" w:right="0"/>
      </w:pPr>
      <w:r>
        <w:rPr>
          <w:rStyle w:val="font_h2"/>
        </w:rPr>
        <w:t xml:space="preserve">1.3. Résistance au vent</w:t>
      </w:r>
    </w:p>
    <w:p>
      <w:pPr>
        <w:ind w:left="720" w:right="0"/>
      </w:pPr>
      <w:r>
        <w:rPr>
          <w:rStyle w:val="font_h2"/>
        </w:rPr>
        <w:t xml:space="preserve">1.4. Marquage CE</w:t>
      </w:r>
    </w:p>
    <w:p>
      <w:pPr/>
      <w:r>
        <w:rPr>
          <w:rStyle w:val="font_h1"/>
        </w:rPr>
        <w:t xml:space="preserve">2. Description des produits</w:t>
      </w:r>
    </w:p>
    <w:p>
      <w:pPr>
        <w:ind w:left="720" w:right="0"/>
      </w:pPr>
      <w:r>
        <w:rPr>
          <w:rStyle w:val="font_h2"/>
        </w:rPr>
        <w:t xml:space="preserve">2.1. Désignation commerciale</w:t>
      </w:r>
    </w:p>
    <w:p>
      <w:pPr>
        <w:ind w:left="720" w:right="0"/>
      </w:pPr>
      <w:r>
        <w:rPr>
          <w:rStyle w:val="font_h2"/>
        </w:rPr>
        <w:t xml:space="preserve">2.2. Composition du produit</w:t>
      </w:r>
    </w:p>
    <w:p>
      <w:pPr>
        <w:ind w:left="720" w:right="0"/>
      </w:pPr>
      <w:r>
        <w:rPr>
          <w:rStyle w:val="font_h2"/>
        </w:rPr>
        <w:t xml:space="preserve">2.3. Caractéristiques d'identification du produit</w:t>
      </w:r>
    </w:p>
    <w:p>
      <w:pPr>
        <w:ind w:left="720" w:right="0"/>
      </w:pPr>
      <w:r>
        <w:rPr>
          <w:rStyle w:val="font_h2"/>
        </w:rPr>
        <w:t xml:space="preserve">2.4. Caractéristiques d'aptitude à l'emploi du produit</w:t>
      </w:r>
    </w:p>
    <w:p>
      <w:pPr>
        <w:ind w:left="1440" w:right="0"/>
      </w:pPr>
      <w:r>
        <w:rPr>
          <w:rStyle w:val="font_h3"/>
        </w:rPr>
        <w:t xml:space="preserve">2.4.1. Comportement sous sollicitations mécaniques</w:t>
      </w:r>
    </w:p>
    <w:p>
      <w:pPr>
        <w:ind w:left="2160" w:right="0"/>
      </w:pPr>
      <w:r>
        <w:rPr>
          <w:rStyle w:val="font_h3"/>
        </w:rPr>
        <w:t xml:space="preserve">2.4.1.1. Essai de comportement de l'isolant sous charges statiques réparties et températures élevées (essai de classe)</w:t>
      </w:r>
    </w:p>
    <w:p>
      <w:pPr>
        <w:ind w:left="2160" w:right="0"/>
      </w:pPr>
      <w:r>
        <w:rPr>
          <w:rStyle w:val="font_h3"/>
        </w:rPr>
        <w:t xml:space="preserve">2.4.1.2. Essai de comportement de l'isolant sous charge maintenue en température</w:t>
      </w:r>
    </w:p>
    <w:p>
      <w:pPr>
        <w:ind w:left="2160" w:right="0"/>
      </w:pPr>
      <w:r>
        <w:rPr>
          <w:rStyle w:val="font_h3"/>
        </w:rPr>
        <w:t xml:space="preserve">2.4.1.3. Essai porte à faux</w:t>
      </w:r>
    </w:p>
    <w:p>
      <w:pPr>
        <w:ind w:left="2160" w:right="0"/>
      </w:pPr>
      <w:r>
        <w:rPr>
          <w:rStyle w:val="font_h3"/>
        </w:rPr>
        <w:t xml:space="preserve">2.4.1.4. Essai porte à faux (Ohn  70mm)</w:t>
      </w:r>
    </w:p>
    <w:p>
      <w:pPr>
        <w:ind w:left="2160" w:right="0"/>
      </w:pPr>
      <w:r>
        <w:rPr>
          <w:rStyle w:val="font_h3"/>
        </w:rPr>
        <w:t xml:space="preserve">2.4.1.5. Essai sous charges concentrées à mi-point d'une portée libre</w:t>
      </w:r>
    </w:p>
    <w:p>
      <w:pPr>
        <w:ind w:left="2160" w:right="0"/>
      </w:pPr>
      <w:r>
        <w:rPr>
          <w:rStyle w:val="font_h3"/>
        </w:rPr>
        <w:t xml:space="preserve">2.4.1.6. Echantillons choisis pour les essais</w:t>
      </w:r>
    </w:p>
    <w:p>
      <w:pPr/>
      <w:r>
        <w:rPr/>
        <w:t xml:space="preserve">Validé par le Groupe Spécialisé le 10/05/2021</w:t>
      </w:r>
    </w:p>
    <w:p>
      <w:pPr/>
      <w:r>
        <w:rPr>
          <w:b/>
          <w:bCs/>
        </w:rPr>
        <w:t xml:space="preserve">Description</w:t>
      </w:r>
    </w:p>
    <w:p>
      <w:pPr/>
      <w:r>
        <w:rPr/>
        <w:t xml:space="preserve">Les essais de classes présentés lors de l’examen des demandes de DTA d’isolants support d’étanchéité devront être réalisés avec des échantillons reflétant la production moyenne du fabricant : les valeurs d’essais d’identification en compression à 10% ne devront pas présenter un écart significatif par rapport à la valeur déclarée par le fabricant. Cet écart est à mesurer en fonction de la moyenne des résultats des autocontrôles du fabricant et les écarts types.</w:t>
      </w:r>
    </w:p>
    <w:p>
      <w:pPr>
        <w:ind w:left="2160" w:right="0"/>
      </w:pPr>
      <w:r>
        <w:rPr>
          <w:rStyle w:val="font_h3"/>
        </w:rPr>
        <w:t xml:space="preserve">2.4.1.7. Particularités pour les isolants de classe B</w:t>
      </w:r>
    </w:p>
    <w:p>
      <w:pPr/>
      <w:r>
        <w:rPr/>
        <w:t xml:space="preserve">Validé par le Groupe Spécialisé le 13/12/2021</w:t>
      </w:r>
    </w:p>
    <w:p>
      <w:pPr/>
      <w:r>
        <w:rPr>
          <w:b/>
          <w:bCs/>
        </w:rPr>
        <w:t xml:space="preserve">Description</w:t>
      </w:r>
    </w:p>
    <w:p>
      <w:pPr/>
      <w:r>
        <w:rPr/>
        <w:t xml:space="preserve">L’essai sous charge ponctuelle déterminé à partir de l’essai de comportement sous charge maintenue en température 50 °C pour une déformation maximale de 2 mm à 100 000 h ne sera plus obligatoire pour les isolants de classe B</w:t>
      </w:r>
    </w:p>
    <w:p>
      <w:pPr>
        <w:ind w:left="1440" w:right="0"/>
      </w:pPr>
      <w:r>
        <w:rPr>
          <w:rStyle w:val="font_h3"/>
        </w:rPr>
        <w:t xml:space="preserve">2.4.2. Comportement à l'eau</w:t>
      </w:r>
    </w:p>
    <w:p>
      <w:pPr>
        <w:ind w:left="2160" w:right="0"/>
      </w:pPr>
      <w:r>
        <w:rPr>
          <w:rStyle w:val="font_h3"/>
        </w:rPr>
        <w:t xml:space="preserve">2.4.2.1. Essai de compression après immersion</w:t>
      </w:r>
    </w:p>
    <w:p>
      <w:pPr>
        <w:ind w:left="2160" w:right="0"/>
      </w:pPr>
      <w:r>
        <w:rPr>
          <w:rStyle w:val="font_h3"/>
        </w:rPr>
        <w:t xml:space="preserve">2.4.2.2. Essai de traction perpendiculaire aux faces après immersion</w:t>
      </w:r>
    </w:p>
    <w:p>
      <w:pPr>
        <w:ind w:left="2160" w:right="0"/>
      </w:pPr>
      <w:r>
        <w:rPr>
          <w:rStyle w:val="font_h3"/>
        </w:rPr>
        <w:t xml:space="preserve">2.4.2.3. Essai de traction perpendiculaire aux faces après traitement d'humidification</w:t>
      </w:r>
    </w:p>
    <w:p>
      <w:pPr>
        <w:ind w:left="1440" w:right="0"/>
      </w:pPr>
      <w:r>
        <w:rPr>
          <w:rStyle w:val="font_h3"/>
        </w:rPr>
        <w:t xml:space="preserve">2.4.3. Compatibilité de colle</w:t>
      </w:r>
    </w:p>
    <w:p>
      <w:pPr>
        <w:ind w:left="720" w:right="0"/>
      </w:pPr>
      <w:r>
        <w:rPr>
          <w:rStyle w:val="font_h2"/>
        </w:rPr>
        <w:t xml:space="preserve">2.5. Matériaux pour écran pare-vapeur</w:t>
      </w:r>
    </w:p>
    <w:p>
      <w:pPr>
        <w:ind w:left="720" w:right="0"/>
      </w:pPr>
      <w:r>
        <w:rPr>
          <w:rStyle w:val="font_h2"/>
        </w:rPr>
        <w:t xml:space="preserve">2.6. Accessoires de fixation</w:t>
      </w:r>
    </w:p>
    <w:p>
      <w:pPr>
        <w:ind w:left="720" w:right="0"/>
      </w:pPr>
      <w:r>
        <w:rPr>
          <w:rStyle w:val="font_h2"/>
        </w:rPr>
        <w:t xml:space="preserve">2.7. Matériaux d'étanchéité</w:t>
      </w:r>
    </w:p>
    <w:p>
      <w:pPr/>
      <w:r>
        <w:rPr>
          <w:rStyle w:val="font_h1"/>
        </w:rPr>
        <w:t xml:space="preserve">3. Fabrication et controle</w:t>
      </w:r>
    </w:p>
    <w:p>
      <w:pPr>
        <w:ind w:left="720" w:right="0"/>
      </w:pPr>
      <w:r>
        <w:rPr>
          <w:rStyle w:val="font_h2"/>
        </w:rPr>
        <w:t xml:space="preserve">3.1. Usine de fabrication</w:t>
      </w:r>
    </w:p>
    <w:p>
      <w:pPr>
        <w:ind w:left="720" w:right="0"/>
      </w:pPr>
      <w:r>
        <w:rPr>
          <w:rStyle w:val="font_h2"/>
        </w:rPr>
        <w:t xml:space="preserve">3.2. Description de la fabrication</w:t>
      </w:r>
    </w:p>
    <w:p>
      <w:pPr>
        <w:ind w:left="720" w:right="0"/>
      </w:pPr>
      <w:r>
        <w:rPr>
          <w:rStyle w:val="font_h2"/>
        </w:rPr>
        <w:t xml:space="preserve">3.3. Contrôles de fabrication</w:t>
      </w:r>
    </w:p>
    <w:p>
      <w:pPr/>
      <w:r>
        <w:rPr>
          <w:rStyle w:val="font_h1"/>
        </w:rPr>
        <w:t xml:space="preserve">4. Mise en oeuvre</w:t>
      </w:r>
    </w:p>
    <w:p>
      <w:pPr>
        <w:ind w:left="720" w:right="0"/>
      </w:pPr>
      <w:r>
        <w:rPr>
          <w:rStyle w:val="font_h2"/>
        </w:rPr>
        <w:t xml:space="preserve">4.1. Mise en oeuvre du pare-vapeur</w:t>
      </w:r>
    </w:p>
    <w:p>
      <w:pPr>
        <w:ind w:left="720" w:right="0"/>
      </w:pPr>
      <w:r>
        <w:rPr>
          <w:rStyle w:val="font_h2"/>
        </w:rPr>
        <w:t xml:space="preserve">4.2. Mise en oeuvre sur des supports constitués d'anciens revêtements d'étanchéité</w:t>
      </w:r>
    </w:p>
    <w:p>
      <w:pPr>
        <w:ind w:left="720" w:right="0"/>
      </w:pPr>
      <w:r>
        <w:rPr>
          <w:rStyle w:val="font_h2"/>
        </w:rPr>
        <w:t xml:space="preserve">4.3. Mise en oeuvre des panneaux isolants</w:t>
      </w:r>
    </w:p>
    <w:p>
      <w:pPr>
        <w:ind w:left="720" w:right="0"/>
      </w:pPr>
      <w:r>
        <w:rPr>
          <w:rStyle w:val="font_h2"/>
        </w:rPr>
        <w:t xml:space="preserve">4.4. Mise en oeuvre du revêtement d'étanchéité</w:t>
      </w:r>
    </w:p>
    <w:p>
      <w:pPr>
        <w:ind w:left="720" w:right="0"/>
      </w:pPr>
      <w:r>
        <w:rPr>
          <w:rStyle w:val="font_h2"/>
        </w:rPr>
        <w:t xml:space="preserve">4.5. Mise en oeuvre de la protection d'étanchéité</w:t>
      </w:r>
    </w:p>
    <w:p>
      <w:pPr>
        <w:ind w:left="720" w:right="0"/>
      </w:pPr>
      <w:r>
        <w:rPr>
          <w:rStyle w:val="font_h2"/>
        </w:rPr>
        <w:t xml:space="preserve">4.6. Chantiers de référence</w:t>
      </w:r>
    </w:p>
    <w:p>
      <w:pPr>
        <w:ind w:left="720" w:right="0"/>
      </w:pPr>
      <w:r>
        <w:rPr>
          <w:rStyle w:val="font_h2"/>
        </w:rPr>
        <w:t xml:space="preserve">4.7. Assistance Technique</w:t>
      </w:r>
    </w:p>
    <w:p>
      <w:pPr/>
      <w:r>
        <w:rPr>
          <w:rStyle w:val="font_h1"/>
        </w:rPr>
        <w:t xml:space="preserve">5. Autres justifications</w:t>
      </w:r>
    </w:p>
    <w:p>
      <w:pPr>
        <w:ind w:left="720" w:right="0"/>
      </w:pPr>
      <w:r>
        <w:rPr>
          <w:rStyle w:val="font_h2"/>
        </w:rPr>
        <w:t xml:space="preserve">5.1. Exemple de calcul thermique</w:t>
      </w:r>
    </w:p>
    <w:p>
      <w:pPr>
        <w:ind w:left="720" w:right="0"/>
      </w:pPr>
      <w:r>
        <w:rPr>
          <w:rStyle w:val="font_h2"/>
        </w:rPr>
        <w:t xml:space="preserve">5.2. Aspects environnementaux</w:t>
      </w:r>
    </w:p>
    <w:p>
      <w:pPr>
        <w:ind w:left="720" w:right="0"/>
      </w:pPr>
      <w:r>
        <w:rPr>
          <w:rStyle w:val="font_h2"/>
        </w:rPr>
        <w:t xml:space="preserve">5.3. Prévention des accidents et des risques lors de la mise en oeuvre et de l'entretien</w:t>
      </w:r>
    </w:p>
    <w:p>
      <w:pPr>
        <w:ind w:left="720" w:right="0"/>
      </w:pPr>
      <w:r>
        <w:rPr>
          <w:rStyle w:val="font_h2"/>
        </w:rPr>
        <w:t xml:space="preserve">5.4. Aspects sanitaires</w:t>
      </w:r>
    </w:p>
    <w:p>
      <w:pPr/>
      <w:r>
        <w:rPr>
          <w:rStyle w:val="font_h1"/>
        </w:rPr>
        <w:t xml:space="preserve">6. Références</w:t>
      </w:r>
    </w:p>
    <w:p>
      <w:pPr/>
      <w:r>
        <w:rPr/>
        <w:t xml:space="preserve">Validé par le Groupe Spécialisé le 30/04/2018</w:t>
      </w:r>
    </w:p>
    <w:p>
      <w:pPr/>
      <w:r>
        <w:rPr>
          <w:b/>
          <w:bCs/>
        </w:rPr>
        <w:t xml:space="preserve">Description</w:t>
      </w:r>
    </w:p>
    <w:p>
      <w:pPr/>
      <w:r>
        <w:rPr/>
        <w:t xml:space="preserve">Les références de chantier doivent être détaillées et ne peuvent se limiter à une extraction des ventes. Seuls les dossiers présentant une liste de références détaillée sera présentée au GS 5.2</w:t>
      </w:r>
    </w:p>
    <w:p>
      <w:pPr/>
      <w:r>
        <w:rPr/>
        <w:t xml:space="preserve">Le Groupe Spécialisé demande à ce que les listes de références de chantiers fournies lors des instructions des demandes soient présentées sous la forme d'un tableau synthétique comportant obligatoirement: La référence et l'adresse du chantier, L'année de réalisation, La surface de toiture, La destination de toiture, L'élément porteur, La description du complexe d'étanchéité, Le nom et les coordonnées du maître d'ouvrage, Le nom et les coordonnées de l'entreprise de pose du complexe d'étanchéité, Le nom et les coordonnées du contrôleur technique, Le nom et les coordonnées du maître d'oeuvre.</w:t>
      </w:r>
    </w:p>
    <w:p>
      <w:pPr/>
      <w:r>
        <w:rPr/>
        <w:t xml:space="preserve">Cette liste doit démontrer le bon tour de main acquis par l'entreprise de pose et la capacité du fabricant à assurer une assistance technique sur son procédé. Pour des conceptions plus innovantes, la liste doit faire figurer les nouvelles solutions, auquel cas, la demande d'Avis Technique ne serait pas présentée en commission ou ne pourrait pas recevoir d'Avis favorable de la commission en cas de passage forcé sans ces références.</w:t>
      </w:r>
    </w:p>
    <w:p>
      <w:pPr/>
      <w:r>
        <w:rPr>
          <w:b/>
          <w:bCs/>
        </w:rPr>
        <w:t xml:space="preserve">Justification</w:t>
      </w:r>
    </w:p>
    <w:p>
      <w:pPr/>
      <w:r>
        <w:rPr/>
        <w:t xml:space="preserve">Liste de références chantiers en lien avec les préconisations du GS 5.2</w:t>
      </w:r>
    </w:p>
    <w:sectPr>
      <w:headerReference w:type="default" r:id="rId7"/>
      <w:footerReference w:type="default" r:id="rId8"/>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paragraph_footer"/>
    </w:pPr>
    <w:r>
      <w:rPr>
        <w:rStyle w:val="font_footer"/>
      </w:rPr>
      <w:t xml:space="preserve">Secrétariat : 84 avenue Jean-Jaurès – Champs-sur-Marne – F-77447 Marne-la-Vallée Cedex 2</w:t>
    </w:r>
    <w:br/>
    <w:r>
      <w:rPr>
        <w:rStyle w:val="font_footer"/>
      </w:rPr>
      <w:t xml:space="preserve">Tel : (33)01.64.68.85.60 - Fax : (33)01.64.68.85.65</w:t>
    </w:r>
    <w:br/>
    <w:r>
      <w:rPr>
        <w:rStyle w:val="font_footer"/>
      </w:rPr>
      <w:t xml:space="preserve">Serveur Internet : http://www.cstb.fr - E-mail : secretariat.at@cstb.fr</w:t>
    </w:r>
    <w:br/>
  </w:p>
  <w:p>
    <w:pPr>
      <w:pStyle w:val="paragraph_footer"/>
    </w:pPr>
    <w:r>
      <w:rPr>
        <w:rStyle w:val="font_footer"/>
      </w:rPr>
      <w:t xml:space="preserve">Page </w:t>
    </w:r>
    <w:r>
      <w:fldChar w:fldCharType="begin"/>
    </w:r>
    <w:r>
      <w:rPr>
        <w:rStyle w:val="font_footer"/>
      </w:rPr>
      <w:instrText xml:space="preserve">PAGE</w:instrText>
    </w:r>
    <w:r>
      <w:fldChar w:fldCharType="separate"/>
    </w:r>
    <w:r>
      <w:fldChar w:fldCharType="end"/>
    </w:r>
    <w:r>
      <w:rPr>
        <w:rStyle w:val="font_footer"/>
      </w:rPr>
      <w:t xml:space="preserve"> sur </w:t>
    </w:r>
    <w:r>
      <w:fldChar w:fldCharType="begin"/>
    </w:r>
    <w:r>
      <w:rPr>
        <w:rStyle w:val="font_footer"/>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
  <w:p>
    <w:pPr/>
    <w:r>
      <w:pict>
        <v:shape type="#_x0000_t75" style="width:170pt; height:60pt; margin-left:0pt; margin-top:0pt; mso-position-horizontal:left; mso-position-vertical:top; mso-position-horizontal-relative:char;">
          <w10:wrap type="inline"/>
          <v:imagedata r:id="rId1" o:titl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font_default">
    <w:name w:val="font_default"/>
    <w:basedOn w:val="Normal"/>
    <w:pPr>
      <w:spacing w:line="240" w:lineRule="auto"/>
    </w:pPr>
    <w:rPr>
      <w:rFonts w:ascii="Calibri" w:hAnsi="Calibri" w:eastAsia="Calibri" w:cs="Calibri"/>
      <w:color w:val="000000"/>
      <w:sz w:val="22"/>
      <w:szCs w:val="22"/>
    </w:rPr>
  </w:style>
  <w:style w:type="character">
    <w:name w:val="font_h1"/>
    <w:rPr>
      <w:rFonts w:ascii="Calibri" w:hAnsi="Calibri" w:eastAsia="Calibri" w:cs="Calibri"/>
      <w:color w:val="000000"/>
      <w:sz w:val="28"/>
      <w:szCs w:val="28"/>
      <w:b/>
      <w:bCs/>
    </w:rPr>
  </w:style>
  <w:style w:type="character">
    <w:name w:val="font_h2"/>
    <w:rPr>
      <w:rFonts w:ascii="Calibri" w:hAnsi="Calibri" w:eastAsia="Calibri" w:cs="Calibri"/>
      <w:color w:val="000000"/>
      <w:sz w:val="24"/>
      <w:szCs w:val="24"/>
      <w:b/>
      <w:bCs/>
    </w:rPr>
  </w:style>
  <w:style w:type="character">
    <w:name w:val="font_h3"/>
    <w:rPr>
      <w:rFonts w:ascii="Calibri" w:hAnsi="Calibri" w:eastAsia="Calibri" w:cs="Calibri"/>
      <w:color w:val="000000"/>
      <w:sz w:val="22"/>
      <w:szCs w:val="22"/>
      <w:b/>
      <w:bCs/>
    </w:rPr>
  </w:style>
  <w:style w:type="character">
    <w:name w:val="font_footer"/>
    <w:rPr>
      <w:rFonts w:ascii="Calibri" w:hAnsi="Calibri" w:eastAsia="Calibri" w:cs="Calibri"/>
      <w:color w:val="000000"/>
      <w:sz w:val="20"/>
      <w:szCs w:val="20"/>
    </w:rPr>
  </w:style>
  <w:style w:type="paragraph" w:customStyle="1" w:styleId="paragraph_centered">
    <w:name w:val="paragraph_centered"/>
    <w:basedOn w:val="Normal"/>
    <w:pPr>
      <w:jc w:val="center"/>
    </w:pPr>
  </w:style>
  <w:style w:type="paragraph" w:customStyle="1" w:styleId="paragraph_footer">
    <w:name w:val="paragraph_footer"/>
    <w:basedOn w:val="Normal"/>
    <w:pPr>
      <w:jc w:val="center"/>
      <w:spacing w:after="0" w:line="240" w:lineRule="auto"/>
    </w:pPr>
  </w:style>
  <w:style w:type="table" w:customStyle="1" w:styleId="table">
    <w:name w:val="table"/>
    <w:uiPriority w:val="99"/>
    <w:tblPr>
      <w:tblW w:w="0" w:type="auto"/>
      <w:tblLayout w:type="autofit"/>
      <w:tblCellMar>
        <w:top w:w="50" w:type="dxa"/>
        <w:left w:w="50" w:type="dxa"/>
        <w:right w:w="50" w:type="dxa"/>
        <w:bottom w:w="50" w:type="dxa"/>
      </w:tblCellMar>
      <w:tblBorders>
        <w:top w:val="single" w:sz="6" w:color="444444"/>
        <w:left w:val="single" w:sz="6" w:color="444444"/>
        <w:right w:val="single" w:sz="6" w:color="444444"/>
        <w:bottom w:val="single" w:sz="6" w:color="444444"/>
        <w:insideH w:val="single" w:sz="6" w:color="444444"/>
        <w:insideV w:val="single" w:sz="6" w:color="444444"/>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2026-09-05T14:08:43+02:00</dcterms:created>
  <dcterms:modified xsi:type="dcterms:W3CDTF">2026-09-05T14:08:43+02:00</dcterms:modified>
</cp:coreProperties>
</file>

<file path=docProps/custom.xml><?xml version="1.0" encoding="utf-8"?>
<Properties xmlns="http://schemas.openxmlformats.org/officeDocument/2006/custom-properties" xmlns:vt="http://schemas.openxmlformats.org/officeDocument/2006/docPropsVTypes"/>
</file>