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polyuréthane ou polyisocyanurate (PUR/PIR) parementé support d'étanchéité asphalte</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ind w:left="2160" w:right="0"/>
      </w:pPr>
      <w:r>
        <w:rPr>
          <w:rStyle w:val="font_h3"/>
        </w:rPr>
        <w:t xml:space="preserve">2.4.1.2. Essai de comportement de l'isolant sous charge maintenue en température</w:t>
      </w:r>
    </w:p>
    <w:p>
      <w:pPr>
        <w:ind w:left="2160" w:right="0"/>
      </w:pPr>
      <w:r>
        <w:rPr>
          <w:rStyle w:val="font_h3"/>
        </w:rPr>
        <w:t xml:space="preserve">2.4.1.3. Essai porte à faux</w:t>
      </w:r>
    </w:p>
    <w:p>
      <w:pPr>
        <w:ind w:left="2160" w:right="0"/>
      </w:pPr>
      <w:r>
        <w:rPr>
          <w:rStyle w:val="font_h3"/>
        </w:rPr>
        <w:t xml:space="preserve">2.4.1.4. Essai porte à faux (Ohn  70mm)</w:t>
      </w:r>
    </w:p>
    <w:p>
      <w:pPr>
        <w:ind w:left="2160" w:right="0"/>
      </w:pPr>
      <w:r>
        <w:rPr>
          <w:rStyle w:val="font_h3"/>
        </w:rPr>
        <w:t xml:space="preserve">2.4.1.5. Essai sous charges concentrées à mi-point d'une portée libre</w:t>
      </w:r>
    </w:p>
    <w:p>
      <w:pPr>
        <w:ind w:left="2160" w:right="0"/>
      </w:pPr>
      <w:r>
        <w:rPr>
          <w:rStyle w:val="font_h3"/>
        </w:rPr>
        <w:t xml:space="preserve">2.4.1.6. Echantillons choisis lors des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2.4.1.7. Particularités isolant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2026-04-17T10:27:15+02:00</dcterms:created>
  <dcterms:modified xsi:type="dcterms:W3CDTF">2026-04-17T10:27:15+02:00</dcterms:modified>
</cp:coreProperties>
</file>

<file path=docProps/custom.xml><?xml version="1.0" encoding="utf-8"?>
<Properties xmlns="http://schemas.openxmlformats.org/officeDocument/2006/custom-properties" xmlns:vt="http://schemas.openxmlformats.org/officeDocument/2006/docPropsVTypes"/>
</file>