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polyuréthane ou polyisocyanurate (PUR/PIR) parementé support d'étanchéité asphalte</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2160" w:right="0"/>
      </w:pPr>
      <w:r>
        <w:rPr>
          <w:rStyle w:val="font_h3"/>
        </w:rPr>
        <w:t xml:space="preserve">2.4.1.6. Echantillons choisis lors des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2.4.1.7. Particularités isolant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2026-10-16T02:37:35+02:00</dcterms:created>
  <dcterms:modified xsi:type="dcterms:W3CDTF">2026-10-16T02:37:35+02:00</dcterms:modified>
</cp:coreProperties>
</file>

<file path=docProps/custom.xml><?xml version="1.0" encoding="utf-8"?>
<Properties xmlns="http://schemas.openxmlformats.org/officeDocument/2006/custom-properties" xmlns:vt="http://schemas.openxmlformats.org/officeDocument/2006/docPropsVTypes"/>
</file>