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polyuréthane ou polyisocyanurate (PUR/PIR) parementé support d'étanchéité asphalte</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2160" w:right="0"/>
      </w:pPr>
      <w:r>
        <w:rPr>
          <w:rStyle w:val="font_h3"/>
        </w:rPr>
        <w:t xml:space="preserve">2.4.1.6. Echantillons choisis lors des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2.4.1.7. Particularités isolant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2026-08-31T07:14:32+02:00</dcterms:created>
  <dcterms:modified xsi:type="dcterms:W3CDTF">2026-08-31T07:14:32+02:00</dcterms:modified>
</cp:coreProperties>
</file>

<file path=docProps/custom.xml><?xml version="1.0" encoding="utf-8"?>
<Properties xmlns="http://schemas.openxmlformats.org/officeDocument/2006/custom-properties" xmlns:vt="http://schemas.openxmlformats.org/officeDocument/2006/docPropsVTypes"/>
</file>