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polyuréthane ou polyisocyanurate (PUR/PIR) parementé support d'étanchéité</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des produits</w:t>
      </w:r>
    </w:p>
    <w:p>
      <w:pPr>
        <w:ind w:left="720" w:right="0"/>
      </w:pPr>
      <w:r>
        <w:rPr>
          <w:rStyle w:val="font_h2"/>
        </w:rPr>
        <w:t xml:space="preserve">2.3. Identification</w:t>
      </w:r>
    </w:p>
    <w:p>
      <w:pPr>
        <w:ind w:left="720" w:right="0"/>
      </w:pPr>
      <w:r>
        <w:rPr>
          <w:rStyle w:val="font_h2"/>
        </w:rPr>
        <w:t xml:space="preserve">2.4. Caractéristiques d'aptitude à l'emploi</w:t>
      </w:r>
    </w:p>
    <w:p>
      <w:pPr>
        <w:ind w:left="1440" w:right="0"/>
      </w:pPr>
      <w:r>
        <w:rPr>
          <w:rStyle w:val="font_h3"/>
        </w:rPr>
        <w:t xml:space="preserve">2.4.1. Comportement sous sollicitations mécaniques</w:t>
      </w:r>
    </w:p>
    <w:p>
      <w:pPr>
        <w:ind w:left="2160" w:right="0"/>
      </w:pPr>
      <w:r>
        <w:rPr>
          <w:rStyle w:val="font_h3"/>
        </w:rPr>
        <w:t xml:space="preserve">2.4.1.1. Echantillons choisis pour les essais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2160" w:right="0"/>
      </w:pPr>
      <w:r>
        <w:rPr>
          <w:rStyle w:val="font_h3"/>
        </w:rPr>
        <w:t xml:space="preserve">2.4.1.2. Particularité pour panneaux de classe B</w:t>
      </w:r>
    </w:p>
    <w:p>
      <w:pPr>
        <w:ind w:left="1440" w:right="0"/>
      </w:pPr>
      <w:r>
        <w:rPr>
          <w:rStyle w:val="font_h3"/>
        </w:rPr>
        <w:t xml:space="preserve">2.4.8. Comportement à l'eau</w:t>
      </w:r>
    </w:p>
    <w:p>
      <w:pPr>
        <w:ind w:left="1440" w:right="0"/>
      </w:pPr>
      <w:r>
        <w:rPr>
          <w:rStyle w:val="font_h3"/>
        </w:rPr>
        <w:t xml:space="preserve">2.4.3. Compatibilité de colle</w:t>
      </w:r>
    </w:p>
    <w:p>
      <w:pPr/>
      <w:r>
        <w:rPr>
          <w:rStyle w:val="font_h1"/>
        </w:rPr>
        <w:t xml:space="preserve">3. Matériaux</w:t>
      </w:r>
    </w:p>
    <w:p>
      <w:pPr/>
      <w:r>
        <w:rPr>
          <w:rStyle w:val="font_h1"/>
        </w:rPr>
        <w:t xml:space="preserve">4. Mise en oeuvre</w:t>
      </w:r>
    </w:p>
    <w:p>
      <w:pPr/>
      <w:r>
        <w:rPr>
          <w:rStyle w:val="font_h1"/>
        </w:rPr>
        <w:t xml:space="preserve">5. Formation et Assistance technique</w:t>
      </w:r>
    </w:p>
    <w:p>
      <w:pPr/>
      <w:r>
        <w:rPr>
          <w:rStyle w:val="font_h1"/>
        </w:rPr>
        <w:t xml:space="preserve">6. Fabrication et contrôles</w:t>
      </w:r>
    </w:p>
    <w:p>
      <w:pPr/>
      <w:r>
        <w:rPr>
          <w:rStyle w:val="font_h1"/>
        </w:rPr>
        <w:t xml:space="preserve">7.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8. Résultats expérimentaux</w:t>
      </w:r>
    </w:p>
    <w:p>
      <w:pPr>
        <w:ind w:left="720" w:right="0"/>
      </w:pPr>
      <w:r>
        <w:rPr>
          <w:rStyle w:val="font_h2"/>
        </w:rPr>
        <w:t xml:space="preserve">8.1.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9. Tableaux et figures</w:t>
      </w:r>
    </w:p>
    <w:p>
      <w:pPr>
        <w:ind w:left="720" w:right="0"/>
      </w:pPr>
      <w:r>
        <w:rPr>
          <w:rStyle w:val="font_h2"/>
        </w:rPr>
        <w:t xml:space="preserve">9.1.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2026-10-16T02:38:07+02:00</dcterms:created>
  <dcterms:modified xsi:type="dcterms:W3CDTF">2026-10-16T02:38:07+02:00</dcterms:modified>
</cp:coreProperties>
</file>

<file path=docProps/custom.xml><?xml version="1.0" encoding="utf-8"?>
<Properties xmlns="http://schemas.openxmlformats.org/officeDocument/2006/custom-properties" xmlns:vt="http://schemas.openxmlformats.org/officeDocument/2006/docPropsVTypes"/>
</file>