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Drainage de murs verticaux enterrés</w:t>
      </w:r>
    </w:p>
    <w:p>
      <w:pPr/>
      <w:r>
        <w:rPr>
          <w:rStyle w:val="font_h1"/>
        </w:rPr>
        <w:t xml:space="preserve">1. Principe</w:t>
      </w:r>
    </w:p>
    <w:p>
      <w:pPr/>
      <w:r>
        <w:rPr/>
        <w:t xml:space="preserve">Validé par le Groupe Spécialisé le 27/03/2017</w:t>
      </w:r>
    </w:p>
    <w:p>
      <w:pPr/>
      <w:r>
        <w:rPr>
          <w:b/>
          <w:bCs/>
        </w:rPr>
        <w:t xml:space="preserve">Description</w:t>
      </w:r>
    </w:p>
    <w:p>
      <w:pPr/>
      <w:r>
        <w:rPr/>
        <w:t xml:space="preserve">Les nappes à excroissance sous Avis Technique doivent être nommées dans le Dossier Technique du revêtement de parois enterrées après accord du titulaire, de façon à inclure une réciprocité entre les deux procédés.</w:t>
      </w:r>
    </w:p>
    <w:p>
      <w:pPr/>
      <w:r>
        <w:rPr>
          <w:rStyle w:val="font_h1"/>
        </w:rPr>
        <w:t xml:space="preserve">2. Domaine d'emploi</w:t>
      </w:r>
    </w:p>
    <w:p>
      <w:pPr/>
      <w:r>
        <w:rPr>
          <w:rStyle w:val="font_h1"/>
        </w:rPr>
        <w:t xml:space="preserve">3. Matériaux</w:t>
      </w:r>
    </w:p>
    <w:p>
      <w:pPr/>
      <w:r>
        <w:rPr>
          <w:rStyle w:val="font_h1"/>
        </w:rPr>
        <w:t xml:space="preserve">4. Fabrications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2026-07-17T01:37:29+02:00</dcterms:created>
  <dcterms:modified xsi:type="dcterms:W3CDTF">2026-07-17T01:37:29+02:00</dcterms:modified>
</cp:coreProperties>
</file>

<file path=docProps/custom.xml><?xml version="1.0" encoding="utf-8"?>
<Properties xmlns="http://schemas.openxmlformats.org/officeDocument/2006/custom-properties" xmlns:vt="http://schemas.openxmlformats.org/officeDocument/2006/docPropsVTypes"/>
</file>