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Protection de murs verticaux enterrés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/>
      <w:r>
        <w:rPr>
          <w:rStyle w:val="font_h1"/>
        </w:rPr>
        <w:t xml:space="preserve">3. Matériaux</w:t>
      </w:r>
    </w:p>
    <w:p>
      <w:pPr/>
      <w:r>
        <w:rPr>
          <w:rStyle w:val="font_h1"/>
        </w:rPr>
        <w:t xml:space="preserve">4. Fabrication et contrôles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Historique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p>
      <w:pPr/>
      <w:r>
        <w:rPr>
          <w:rStyle w:val="font_h1"/>
        </w:rPr>
        <w:t xml:space="preserve">10. Tableaux et figures</w:t>
      </w:r>
    </w:p>
    <w:p>
      <w:pPr/>
      <w:r>
        <w:rPr/>
        <w:t xml:space="preserve">Validé par le Groupe Spécialisé le 14/03/2022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2026-10-16T02:35:35+02:00</dcterms:created>
  <dcterms:modified xsi:type="dcterms:W3CDTF">2026-10-16T02:35:35+02:00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