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22/07/2026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végétalisé</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 •Joint horizontal (coupe verticale) •Joint vertical (coupe horizontale) •Arrêt sur acrotère •Arrêt latéral •Joint de dilatation •Angle rentrant •Compartimentage horizontal de la lame d’air •Pose en zone exposée aux chocs : renforcement éventuel •Remplacement d’un élément </w:t>
      </w:r>
    </w:p>
    <w:p>
      <w:pPr/>
      <w:r>
        <w:rPr/>
        <w:t xml:space="preserve">Figures ne concernant que l’ossature bois : •Départ de bardage •Appui de baie •Tableau •Linteau •Angle sortant •Fractionnement de l’ossature : Chevrons de longueur ≤ 5,40m •Fractionnement de l’ossature : Chevrons de longueur comprise entre 5,40m et 11m </w:t>
      </w:r>
    </w:p>
    <w:p>
      <w:pPr/>
      <w:r>
        <w:rPr/>
        <w:t xml:space="preserve">Figures ne concernant que l’ossature métallique : •Départ de bardage •Appui de baie •Tableau •Linteau •Angle sortant •Fractionnement de l’ossature : Montants acier de longueur ≤ 6m / Montants en aluminium de longueur ≤ 3m •Fractionnement de l’ossature : Montants en aluminium de longueur comprise entre 3m et 6m </w:t>
      </w:r>
    </w:p>
    <w:p>
      <w:pPr/>
      <w:r>
        <w:rPr/>
        <w:t xml:space="preserve">Figures sur COB : •Coupe horizontale sur COB •Coupe verticale sur COB •Recoupement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4E18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391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CF7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978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5A9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19B4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599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CC6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0169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FA37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2026-07-22T16:02:31+02:00</dcterms:created>
  <dcterms:modified xsi:type="dcterms:W3CDTF">2026-07-22T16:02:31+02:00</dcterms:modified>
</cp:coreProperties>
</file>

<file path=docProps/custom.xml><?xml version="1.0" encoding="utf-8"?>
<Properties xmlns="http://schemas.openxmlformats.org/officeDocument/2006/custom-properties" xmlns:vt="http://schemas.openxmlformats.org/officeDocument/2006/docPropsVTypes"/>
</file>