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pour les appareils à granulés de bois</w:t>
      </w:r>
    </w:p>
    <w:p>
      <w:pPr/>
      <w:r>
        <w:rPr>
          <w:rStyle w:val="font_h1"/>
        </w:rPr>
        <w:t xml:space="preserve">1. Principe</w:t>
      </w:r>
    </w:p>
    <w:p>
      <w:pPr/>
      <w:r>
        <w:rPr/>
        <w:t xml:space="preserve">Validé par le Groupe Spécialisé le 06/10/2017</w:t>
      </w:r>
    </w:p>
    <w:p>
      <w:pPr/>
      <w:r>
        <w:rPr>
          <w:b/>
          <w:bCs/>
        </w:rPr>
        <w:t xml:space="preserve">Description</w:t>
      </w:r>
    </w:p>
    <w:p>
      <w:pPr/>
      <w:r>
        <w:rPr/>
        <w:t xml:space="preserve">Décrire succinctement les différentes versions du système (concentrique, double paroi isolé, réutilisation de conduit existant) et les types d'appareils à granulés étanches compatibles : poêles visés par un DTA, chaudières visées par un ATEC. </w:t>
      </w:r>
    </w:p>
    <w:p>
      <w:pPr/>
      <w:r>
        <w:rPr/>
        <w:t xml:space="preserve">Préciser si le système peut être placé à l'intérieur et/ou à l'extérieur des bâtiments.</w:t>
      </w:r>
    </w:p>
    <w:p>
      <w:pPr/>
      <w:r>
        <w:rPr/>
        <w:t xml:space="preserve">Préciser la (les) désignation(s) d'ouvrage(s) du système : Txxx N1 W3 G(xx)</w:t>
      </w:r>
    </w:p>
    <w:p>
      <w:pPr/>
      <w:r>
        <w:rPr/>
        <w:t xml:space="preserve">Note : En réutilisation de conduit de fumée existant, la distance aux matériaux combustibles est à considérer par rapport à la face extérieure du conduit de fumée existant.</w:t>
      </w:r>
    </w:p>
    <w:p>
      <w:pPr/>
      <w:r>
        <w:rPr>
          <w:rStyle w:val="font_h1"/>
        </w:rPr>
        <w:t xml:space="preserve">2. Domaine d'emploi</w:t>
      </w:r>
    </w:p>
    <w:p>
      <w:pPr/>
      <w:r>
        <w:rPr/>
        <w:t xml:space="preserve">Validé par le Groupe Spécialisé le 02/02/2023</w:t>
      </w:r>
    </w:p>
    <w:p>
      <w:pPr/>
      <w:r>
        <w:rPr>
          <w:b/>
          <w:bCs/>
        </w:rPr>
        <w:t xml:space="preserve">Description</w:t>
      </w:r>
    </w:p>
    <w:p>
      <w:pPr/>
      <w:r>
        <w:rPr/>
        <w:t xml:space="preserve">Décrire les caractéristiques des appareils à granulés compatibles avec le système : appareils étanches visés par un ATEC ou un DTA ou marqués CE selon l'EN 16510-2-6, température des produits de combustion, pression négative ou nulle à la buse, puissance inférieure ou égale à 70 kW.</w:t>
      </w:r>
    </w:p>
    <w:p>
      <w:pPr/>
      <w:r>
        <w:rPr/>
        <w:t xml:space="preserve">Préciser :</w:t>
      </w:r>
    </w:p>
    <w:p>
      <w:pPr>
        <w:pPr/>
        <w:numPr>
          <w:ilvl w:val="0"/>
          <w:numId w:val="9"/>
        </w:numPr>
      </w:pPr>
      <w:r>
        <w:rPr/>
        <w:t xml:space="preserve">les types d'accessoires utilisés en traversée de paroi</w:t>
      </w:r>
    </w:p>
    <w:p>
      <w:pPr>
        <w:pPr/>
        <w:numPr>
          <w:ilvl w:val="0"/>
          <w:numId w:val="9"/>
        </w:numPr>
      </w:pPr>
      <w:r>
        <w:rPr/>
        <w:t xml:space="preserve">que l’adaptateur éventuel entre les buses de l’appareil et les conduits d’amenée d’air comburant et d’évacuation des produits de combustion est défini par le fabricant de l’appareil. </w:t>
      </w:r>
    </w:p>
    <w:p>
      <w:pPr/>
      <w:r>
        <w:rPr/>
        <w:t xml:space="preserve">Indiquer les types de bâtiments dans l’habitat individuel et éventuellement l’habitat collectif (à l'exclusion de la 4eme famille pour la desserte des poêles à granulés compte tenu des exigences de l'arrêté du 31 janvier 1986).</w:t>
      </w:r>
    </w:p>
    <w:p>
      <w:pPr/>
      <w:r>
        <w:rPr/>
        <w:t xml:space="preserve">Les appareils marqués CE selon l'EN 16510-2-6, non visés par un DTA, doivent respecter les dispositions suivantes  :</w:t>
      </w:r>
    </w:p>
    <w:p>
      <w:pPr>
        <w:pPr/>
        <w:numPr>
          <w:ilvl w:val="0"/>
          <w:numId w:val="10"/>
        </w:numPr>
      </w:pPr>
      <w:r>
        <w:rPr/>
        <w:t xml:space="preserve">ils doivent respecter la classe d’étanchéité CM50 ou CC50. La classe d’étanchéité doit être déclarée par le fabricant sur la base d’un rapport d’essai établi par un laboratoire accrédité pour ces essais selon la norme EN ISO 17025.</w:t>
      </w:r>
    </w:p>
    <w:p>
      <w:pPr/>
      <w:r>
        <w:rPr/>
        <w:t xml:space="preserve">Note : L’essai d’étanchéité de l’appareil doit être réalisé avec tous les éléments de conduits permettant l’amenée d’air comburant et l’évacuation des produits de combustion situés à l’intérieur du poêle et, le cas échéant, avec les accessoires de raccordement fournis par le fabricant de l’appareil. Tous ces composants sont fournis et installés sur l’appareil sous la responsabilité du fabricant de l’appareil.</w:t>
      </w:r>
    </w:p>
    <w:p>
      <w:pPr>
        <w:pPr/>
        <w:numPr>
          <w:ilvl w:val="0"/>
          <w:numId w:val="11"/>
        </w:numPr>
      </w:pPr>
      <w:r>
        <w:rPr/>
        <w:t xml:space="preserve">La notice et la plaque signalétique doivent mentionner les éléments suivants :</w:t>
      </w:r>
      <w:r>
        <w:rPr/>
        <w:t xml:space="preserve">Note : un essai de fonctionnement permet de valider cette compatibilité.</w:t>
      </w:r>
      <w:r>
        <w:rPr/>
        <w:t xml:space="preserve">Note : Compte tenu de la conception des appareils à granulés, incluant un ventilateur, il est admis que la valeur du Pw (nécessaire au calcul selon l’EN 13384-1+A1) puisse être déclarée par le fabricant à 0 Pa, indépendamment des conditions d’essai du marquage CE</w:t>
      </w:r>
    </w:p>
    <w:p>
      <w:pPr>
        <w:pPr/>
        <w:numPr>
          <w:ilvl w:val="1"/>
          <w:numId w:val="11"/>
        </w:numPr>
      </w:pPr>
      <w:r>
        <w:rPr/>
        <w:t xml:space="preserve">La notice de l’appareil doit préciser la possibilité de raccordement à un conduit concentrique et les limites d’utilisation selon la configuration horizontale et verticale : longueur minimale et maximale par diamètres. Pour la configuration séparée, la notice de l’appareil doit préciser la perte de charge maximale acceptable de l’amenée d’air comburant.</w:t>
      </w:r>
    </w:p>
    <w:p>
      <w:pPr>
        <w:pPr/>
        <w:numPr>
          <w:ilvl w:val="1"/>
          <w:numId w:val="11"/>
        </w:numPr>
      </w:pPr>
      <w:r>
        <w:rPr/>
        <w:t xml:space="preserve">La plaque signalétique et la notice de l’appareil doivent indiquer la classe d’étanchéité de l’appareil (CM50 ou CC50).</w:t>
      </w:r>
    </w:p>
    <w:p>
      <w:pPr>
        <w:pPr/>
        <w:numPr>
          <w:ilvl w:val="1"/>
          <w:numId w:val="11"/>
        </w:numPr>
      </w:pPr>
      <w:r>
        <w:rPr/>
        <w:t xml:space="preserve">La notice de l’appareil doit indiquer toutes les données permettant le dimensionnement de l'installation, dont la valeur de Pw à utiliser et les contraintes de dimensionnement liées à la perte de charge de l’arrivée d’air comburant.</w:t>
      </w:r>
    </w:p>
    <w:p>
      <w:pPr>
        <w:pPr/>
        <w:numPr>
          <w:ilvl w:val="1"/>
          <w:numId w:val="11"/>
        </w:numPr>
      </w:pPr>
      <w:r>
        <w:rPr/>
        <w:t xml:space="preserve">La notice de l’appareil doit préciser les dispositions spécifiques à respecter lorsque des accessoires de raccordement aux conduits d’amenée d’air comburant et d’évacuation des produits de combustion sont fournis par le fabricant de l’appareil sous sa responsabilité.</w:t>
      </w:r>
    </w:p>
    <w:p>
      <w:pPr>
        <w:pPr/>
        <w:numPr>
          <w:ilvl w:val="1"/>
          <w:numId w:val="11"/>
        </w:numPr>
      </w:pPr>
      <w:r>
        <w:rPr/>
        <w:t xml:space="preserve">La notice doit préciser que seuls les granulés de bois naturel à base de sciure certifiés de classe A1 selon la norme ISO 17225 2 (ENplus A1, DIN Plus ou NF 444 de catégorie "NF Granulés Biocombustibles Bois Qualité Haute Performance") sont utilisables.</w:t>
      </w:r>
    </w:p>
    <w:p>
      <w:pPr/>
      <w:r>
        <w:rPr>
          <w:b/>
          <w:bCs/>
        </w:rPr>
        <w:t xml:space="preserve">Critères d'évaluation</w:t>
      </w:r>
    </w:p>
    <w:p>
      <w:pPr/>
      <w:r>
        <w:rPr/>
        <w:t xml:space="preserve">Les caractéristiques des appareils doivent être compatibles avec la désignation des conduits et avec la désignation de l'ouvrage.Pour l'ouvrage, une seule classe de température doit être définie. Elle doit correspondre à la classe de température minimale des produits décrits. </w:t>
      </w:r>
    </w:p>
    <w:p>
      <w:pPr/>
      <w:r>
        <w:rPr/>
        <w:t xml:space="preserve">La réglementation applicable aux différents types de bâtiments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30/01/2020</w:t>
      </w:r>
    </w:p>
    <w:p>
      <w:pPr/>
      <w:r>
        <w:rPr>
          <w:b/>
          <w:bCs/>
        </w:rPr>
        <w:t xml:space="preserve">Description</w:t>
      </w:r>
    </w:p>
    <w:p>
      <w:pPr/>
      <w:r>
        <w:rPr/>
        <w:t xml:space="preserve">Décrire de façon détaillée chaque composant du système en intégrant notamment la nature du composant (nuance d'inox), les caractéristiques dimensionnelles, la nature des joints éventuels, la désignation CE des composants et la norme de référence (EN 1856-1, EN 1856-2, EN 14989-2) :</w:t>
      </w:r>
    </w:p>
    <w:p>
      <w:pPr>
        <w:pPr/>
        <w:numPr>
          <w:ilvl w:val="0"/>
          <w:numId w:val="12"/>
        </w:numPr>
      </w:pPr>
      <w:r>
        <w:rPr/>
        <w:t xml:space="preserve">Conduits d'évacuation des produits de combustion et d'amenée d'air comburant (éléments droits, conduits coulissants, Tés, coudes,  ...)</w:t>
      </w:r>
    </w:p>
    <w:p>
      <w:pPr>
        <w:pPr/>
        <w:numPr>
          <w:ilvl w:val="0"/>
          <w:numId w:val="12"/>
        </w:numPr>
      </w:pPr>
      <w:r>
        <w:rPr/>
        <w:t xml:space="preserve">Terminaux (préciser le taux de recirculation moyen pour les terminaux concentriques)</w:t>
      </w:r>
    </w:p>
    <w:p>
      <w:pPr>
        <w:pPr/>
        <w:numPr>
          <w:ilvl w:val="0"/>
          <w:numId w:val="12"/>
        </w:numPr>
      </w:pPr>
      <w:r>
        <w:rPr/>
        <w:t xml:space="preserve">Systèmes de traversée de paroi</w:t>
      </w:r>
    </w:p>
    <w:p>
      <w:pPr>
        <w:pPr/>
        <w:numPr>
          <w:ilvl w:val="0"/>
          <w:numId w:val="12"/>
        </w:numPr>
      </w:pPr>
      <w:r>
        <w:rPr/>
        <w:t xml:space="preserve">Joints (préciser la nature des joints)</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Pour les conduits concentriques, essai d'étanchéité du conduit d'amenée d'air comburant (selon EN 14989-2)</w:t>
      </w:r>
    </w:p>
    <w:p>
      <w:pPr>
        <w:pPr/>
        <w:numPr>
          <w:ilvl w:val="0"/>
          <w:numId w:val="14"/>
        </w:numPr>
      </w:pPr>
      <w:r>
        <w:rPr/>
        <w:t xml:space="preserve">Essai de recirculation des terminaux (horizontaux et verticaux).  A partir d'une gamme comportant 4 diamètres, 2 diamètres au minimum doivent être testés</w:t>
      </w:r>
    </w:p>
    <w:p>
      <w:pPr>
        <w:pPr/>
        <w:numPr>
          <w:ilvl w:val="0"/>
          <w:numId w:val="14"/>
        </w:numPr>
      </w:pPr>
      <w:r>
        <w:rPr/>
        <w:t xml:space="preserve">Essai thermique comportant les systèmes isolés de traversées de parois avec un coffrage ventilé (si prévus dans le dossier) selon EN 1856-1, EN 14989-2 ou EN 13216-1</w:t>
      </w:r>
    </w:p>
    <w:p>
      <w:pPr>
        <w:pPr/>
        <w:numPr>
          <w:ilvl w:val="0"/>
          <w:numId w:val="14"/>
        </w:numPr>
      </w:pPr>
      <w:r>
        <w:rPr/>
        <w:t xml:space="preserve">Pour les joints inflammables (par exemple les joints silicone) : essai de réaction au feu des joints</w:t>
      </w:r>
    </w:p>
    <w:p>
      <w:pPr>
        <w:pPr/>
        <w:numPr>
          <w:ilvl w:val="0"/>
          <w:numId w:val="14"/>
        </w:numPr>
      </w:pPr>
      <w:r>
        <w:rPr/>
        <w:t xml:space="preserve">Fourniture de référence pour l'application considérée, en particulier dans le cas de raccordement à des chaudières étanches</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(avec leurs accessoires de traversée de paroi) : résistance à la température, étanchéité au gaz du conduit de fumée et du conduit d'amenée d'air comburant, résistance aux condensats, résistance à la corrosion, résistance au feu de cheminée, distance aux matériaux combustibles</w:t>
      </w:r>
    </w:p>
    <w:p>
      <w:pPr/>
      <w:r>
        <w:rPr/>
        <w:t xml:space="preserve">Note : la résistance à la corrosion des conduits d'évacuation des produits de combustion pour les poêles à granulés de bois doit être de classe C2 (selon le NF DTU 24.1). Des conduits non classés C2 mais bénéficiant d’un essai de corrosion V2 et d’une désignation V2 peuvent également être considérés compatibles.</w:t>
      </w:r>
    </w:p>
    <w:p>
      <w:pPr>
        <w:pPr/>
        <w:numPr>
          <w:ilvl w:val="0"/>
          <w:numId w:val="16"/>
        </w:numPr>
      </w:pPr>
      <w:r>
        <w:rPr/>
        <w:t xml:space="preserve">pour les conduits comportant des joints : absence d'apparition de flamme lors de l'essai thermique.</w:t>
      </w:r>
    </w:p>
    <w:p>
      <w:pPr>
        <w:pPr/>
        <w:numPr>
          <w:ilvl w:val="0"/>
          <w:numId w:val="16"/>
        </w:numPr>
      </w:pPr>
      <w:r>
        <w:rPr/>
        <w:t xml:space="preserve">pour les joints inflammables : classe de réaction au feu minimale A2, s2 ou s3, d0 ou A2, s1, d1</w:t>
      </w:r>
    </w:p>
    <w:p>
      <w:pPr>
        <w:pPr/>
        <w:numPr>
          <w:ilvl w:val="0"/>
          <w:numId w:val="16"/>
        </w:numPr>
      </w:pPr>
      <w:r>
        <w:rPr/>
        <w:t xml:space="preserve">pour les terminaux : taux de recirculation moyen, présence d'une protection anti-volatile</w:t>
      </w:r>
    </w:p>
    <w:p>
      <w:pPr>
        <w:ind w:left="720" w:right="0"/>
      </w:pPr>
      <w:r>
        <w:rPr>
          <w:rStyle w:val="font_h2"/>
        </w:rPr>
        <w:t xml:space="preserve">4.2.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d'appareil à granulés pouvant être raccordé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ind w:left="720" w:right="0"/>
      </w:pPr>
      <w:r>
        <w:rPr>
          <w:rStyle w:val="font_h2"/>
        </w:rPr>
        <w:t xml:space="preserve">4.3.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26/03/2024</w:t>
      </w:r>
    </w:p>
    <w:p>
      <w:pPr/>
      <w:r>
        <w:rPr>
          <w:b/>
          <w:bCs/>
        </w:rPr>
        <w:t xml:space="preserve">Description</w:t>
      </w:r>
    </w:p>
    <w:p>
      <w:pPr/>
      <w:r>
        <w:rPr/>
        <w:t xml:space="preserve">Indiquer les prescriptions générales de dimensionnement et de conception du système par renvoi au Cahier des Prescriptions Techniques communes (e-cahier du CSTB n° 3708_V3).</w:t>
      </w:r>
    </w:p>
    <w:p>
      <w:pPr/>
      <w:r>
        <w:rPr/>
        <w:t xml:space="preserve">Préciser que, en configuration séparée,  le débouché doit être conforme à l'arrêté du 22 octobre 1969.</w:t>
      </w:r>
    </w:p>
    <w:p>
      <w:pPr>
        <w:ind w:left="720" w:right="0"/>
      </w:pPr>
      <w:r>
        <w:rPr>
          <w:rStyle w:val="font_h2"/>
        </w:rPr>
        <w:t xml:space="preserve">6.2. Règles de conception générales dans les bâtiments d'habitation</w:t>
      </w:r>
    </w:p>
    <w:p>
      <w:pPr/>
      <w:r>
        <w:rPr/>
        <w:t xml:space="preserve">Validé par le Groupe Spécialisé le 26/03/2024</w:t>
      </w:r>
    </w:p>
    <w:p>
      <w:pPr/>
      <w:r>
        <w:rPr>
          <w:b/>
          <w:bCs/>
        </w:rPr>
        <w:t xml:space="preserve">Description</w:t>
      </w:r>
    </w:p>
    <w:p>
      <w:pPr/>
      <w:r>
        <w:rPr/>
        <w:t xml:space="preserve">Préciser les dispositions de conception générales complémentaires à celles prévues dans les Cahiers des Prescriptions Techniques communes (e-cahier du CSTB n° 3708_V3).</w:t>
      </w:r>
    </w:p>
    <w:p>
      <w:pPr>
        <w:ind w:left="720" w:right="0"/>
      </w:pPr>
      <w:r>
        <w:rPr>
          <w:rStyle w:val="font_h2"/>
        </w:rPr>
        <w:t xml:space="preserve">6.3. Règles de conception particulières dans les bâtiments d'habitation</w:t>
      </w:r>
    </w:p>
    <w:p>
      <w:pPr/>
      <w:r>
        <w:rPr/>
        <w:t xml:space="preserve">Validé par le Groupe Spécialisé le 26/03/2024</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protection contre les chocs</w:t>
      </w:r>
    </w:p>
    <w:p>
      <w:pPr>
        <w:pPr/>
        <w:numPr>
          <w:ilvl w:val="0"/>
          <w:numId w:val="18"/>
        </w:numPr>
      </w:pPr>
      <w:r>
        <w:rPr/>
        <w:t xml:space="preserve">pour la réutilisation d'un conduit de fumée individuel existant : type de configuration possible, section minimale du conduit de fumée existant et le cas échéant section minimale de la grille d'air comburant mise en place sur le conduit existant </w:t>
      </w:r>
    </w:p>
    <w:p>
      <w:pPr>
        <w:pPr/>
        <w:numPr>
          <w:ilvl w:val="0"/>
          <w:numId w:val="18"/>
        </w:numPr>
      </w:pPr>
      <w:r>
        <w:rPr/>
        <w:t xml:space="preserve">pour le montage dans les bâtiments d'habitation collectif si prévu au domaine d'emploi</w:t>
      </w:r>
    </w:p>
    <w:p>
      <w:pPr/>
      <w:r>
        <w:rPr>
          <w:b/>
          <w:bCs/>
        </w:rPr>
        <w:t xml:space="preserve">Critères d'évaluation</w:t>
      </w:r>
    </w:p>
    <w:p>
      <w:pPr/>
      <w:r>
        <w:rPr/>
        <w:t xml:space="preserve">Respect des dispositions de l'arrêté du 31 janvier 1986 modifié pour le montage dans les bâtiments d'habitation collectif. En outre, dans ce cas, pour les conduits desservant des poêles à granulés la gaine technique doit être spécifique à un conduit et ventilée en partie basse, depuis le local, et haute avec une section de 50 cm2.</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24/03/2024</w:t>
      </w:r>
    </w:p>
    <w:p>
      <w:pPr/>
      <w:r>
        <w:rPr>
          <w:b/>
          <w:bCs/>
        </w:rPr>
        <w:t xml:space="preserve">Description</w:t>
      </w:r>
    </w:p>
    <w:p>
      <w:pPr/>
      <w:r>
        <w:rPr/>
        <w:t xml:space="preserve">Préciser les règles générales de mise en oeuvre du système par référence au Cahier des Prescriptions Techniques communes concernant les systèmes individuels d’amenée d’air comburant et d’évacuation des produits de combustion raccordés à des appareils étanches à granulés de bois (e-cahier du CSTB n° 3708_V3).</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granulés,</w:t>
      </w:r>
    </w:p>
    <w:p>
      <w:pPr>
        <w:pPr/>
        <w:numPr>
          <w:ilvl w:val="0"/>
          <w:numId w:val="19"/>
        </w:numPr>
      </w:pPr>
      <w:r>
        <w:rPr/>
        <w:t xml:space="preserve">le traitement des traversées de parois (avec plaques de distance de sécurité ajourées et/ou système isolé)</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7.3. Mise en oeuvre de la version séparée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7.4. Mise en oeuvre de la version du système utilisée en réutilisation de conduit de fumée existant</w:t>
      </w:r>
    </w:p>
    <w:p>
      <w:pPr/>
      <w:r>
        <w:rPr/>
        <w:t xml:space="preserve">Validé par le Groupe Spécialisé le 06/10/2017</w:t>
      </w:r>
    </w:p>
    <w:p>
      <w:pPr/>
      <w:r>
        <w:rPr>
          <w:b/>
          <w:bCs/>
        </w:rPr>
        <w:t xml:space="preserve">Description</w:t>
      </w:r>
    </w:p>
    <w:p>
      <w:pPr/>
      <w:r>
        <w:rPr/>
        <w:t xml:space="preserve">Préciser le contenu de la vérification de l'état du conduit existant, la mise en oeuvre des éléments constitutifs du système, la distance de sécurité à respecter,  le raccordement entre l'appareil et le conduit existant.</w:t>
      </w:r>
    </w:p>
    <w:p>
      <w:pPr/>
      <w:r>
        <w:rPr>
          <w:rStyle w:val="font_h1"/>
        </w:rPr>
        <w:t xml:space="preserve">8.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r>
        <w:rPr/>
        <w:t xml:space="preserve">Préciser comment l’accès à l'intérieur du conduit est réalisé.</w:t>
      </w:r>
    </w:p>
    <w:p>
      <w:pPr/>
      <w:r>
        <w:rPr>
          <w:rStyle w:val="font_h1"/>
        </w:rPr>
        <w:t xml:space="preserve">9.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E87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5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B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3C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25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74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27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59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2B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14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EE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2026-05-06T04:51:20+02:00</dcterms:created>
  <dcterms:modified xsi:type="dcterms:W3CDTF">2026-05-06T04:51:20+02:00</dcterms:modified>
</cp:coreProperties>
</file>

<file path=docProps/custom.xml><?xml version="1.0" encoding="utf-8"?>
<Properties xmlns="http://schemas.openxmlformats.org/officeDocument/2006/custom-properties" xmlns:vt="http://schemas.openxmlformats.org/officeDocument/2006/docPropsVTypes"/>
</file>