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21/06/2026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chauffant hydraulique mis en œuvre en structure</w:t>
      </w:r>
    </w:p>
    <w:p>
      <w:pPr/>
      <w:r>
        <w:rPr>
          <w:rStyle w:val="font_h1"/>
        </w:rPr>
        <w:t xml:space="preserve">1. Jurisprudence depuis 01/01/2017</w:t>
      </w:r>
    </w:p>
    <w:p>
      <w:pPr/>
      <w:r>
        <w:rPr>
          <w:rStyle w:val="font_h1"/>
        </w:rPr>
        <w:t xml:space="preserve">2. Principe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Plancher à poutrelles</w:t>
      </w:r>
    </w:p>
    <w:p>
      <w:pPr>
        <w:ind w:left="1440" w:right="0"/>
      </w:pPr>
      <w:r>
        <w:rPr>
          <w:rStyle w:val="font_h3"/>
        </w:rPr>
        <w:t xml:space="preserve">3.1.1. Poutrelles précontraintes</w:t>
      </w:r>
    </w:p>
    <w:p>
      <w:pPr>
        <w:ind w:left="1440" w:right="0"/>
      </w:pPr>
      <w:r>
        <w:rPr>
          <w:rStyle w:val="font_h3"/>
        </w:rPr>
        <w:t xml:space="preserve">3.1.2. Entrevous isolants</w:t>
      </w:r>
    </w:p>
    <w:p>
      <w:pPr>
        <w:ind w:left="1440" w:right="0"/>
      </w:pPr>
      <w:r>
        <w:rPr>
          <w:rStyle w:val="font_h3"/>
        </w:rPr>
        <w:t xml:space="preserve">3.1.3. Entrevous</w:t>
      </w:r>
    </w:p>
    <w:p>
      <w:pPr>
        <w:ind w:left="1440" w:right="0"/>
      </w:pPr>
      <w:r>
        <w:rPr>
          <w:rStyle w:val="font_h3"/>
        </w:rPr>
        <w:t xml:space="preserve">3.1.4. Rupteurs de pont thermique</w:t>
      </w:r>
    </w:p>
    <w:p>
      <w:pPr>
        <w:ind w:left="720" w:right="0"/>
      </w:pPr>
      <w:r>
        <w:rPr>
          <w:rStyle w:val="font_h2"/>
        </w:rPr>
        <w:t xml:space="preserve">3.2. Composants de chauffage</w:t>
      </w:r>
    </w:p>
    <w:p>
      <w:pPr>
        <w:ind w:left="1440" w:right="0"/>
      </w:pPr>
      <w:r>
        <w:rPr>
          <w:rStyle w:val="font_h3"/>
        </w:rPr>
        <w:t xml:space="preserve">3.2.1. Trames et liaison au collecteur</w:t>
      </w:r>
    </w:p>
    <w:p>
      <w:pPr>
        <w:ind w:left="2160" w:right="0"/>
      </w:pPr>
      <w:r>
        <w:rPr>
          <w:rStyle w:val="font_h3"/>
        </w:rPr>
        <w:t xml:space="preserve">3.2.1.1. Tubes et raccords à sertir</w:t>
      </w:r>
    </w:p>
    <w:p>
      <w:pPr>
        <w:ind w:left="2160" w:right="0"/>
      </w:pPr>
      <w:r>
        <w:rPr>
          <w:rStyle w:val="font_h3"/>
        </w:rPr>
        <w:t xml:space="preserve">3.2.1.2. Trames</w:t>
      </w:r>
    </w:p>
    <w:p>
      <w:pPr>
        <w:ind w:left="1440" w:right="0"/>
      </w:pPr>
      <w:r>
        <w:rPr>
          <w:rStyle w:val="font_h3"/>
        </w:rPr>
        <w:t xml:space="preserve">3.2.2. Tubes de liaison et raccords à sertir</w:t>
      </w:r>
    </w:p>
    <w:p>
      <w:pPr>
        <w:ind w:left="1440" w:right="0"/>
      </w:pPr>
      <w:r>
        <w:rPr>
          <w:rStyle w:val="font_h3"/>
        </w:rPr>
        <w:t xml:space="preserve">3.2.3. Grillage</w:t>
      </w:r>
    </w:p>
    <w:p>
      <w:pPr>
        <w:ind w:left="1440" w:right="0"/>
      </w:pPr>
      <w:r>
        <w:rPr>
          <w:rStyle w:val="font_h3"/>
        </w:rPr>
        <w:t xml:space="preserve">3.2.4. Cavaliers de fixation à fixer manuellement sur entrevous</w:t>
      </w:r>
    </w:p>
    <w:p>
      <w:pPr>
        <w:ind w:left="1440" w:right="0"/>
      </w:pPr>
      <w:r>
        <w:rPr>
          <w:rStyle w:val="font_h3"/>
        </w:rPr>
        <w:t xml:space="preserve">3.2.5. Cavaliers de fixation à fixer avec agrafeuse sur entrevous</w:t>
      </w:r>
    </w:p>
    <w:p>
      <w:pPr>
        <w:ind w:left="1440" w:right="0"/>
      </w:pPr>
      <w:r>
        <w:rPr>
          <w:rStyle w:val="font_h3"/>
        </w:rPr>
        <w:t xml:space="preserve">3.2.6. Cavaliers de fixation sur entrevous</w:t>
      </w:r>
    </w:p>
    <w:p>
      <w:pPr>
        <w:ind w:left="1440" w:right="0"/>
      </w:pPr>
      <w:r>
        <w:rPr>
          <w:rStyle w:val="font_h3"/>
        </w:rPr>
        <w:t xml:space="preserve">3.2.7. Kit de remontée des tubes</w:t>
      </w:r>
    </w:p>
    <w:p>
      <w:pPr>
        <w:ind w:left="1440" w:right="0"/>
      </w:pPr>
      <w:r>
        <w:rPr>
          <w:rStyle w:val="font_h3"/>
        </w:rPr>
        <w:t xml:space="preserve">3.2.8. Kit de mise en épreuve</w:t>
      </w:r>
    </w:p>
    <w:p>
      <w:pPr>
        <w:ind w:left="1440" w:right="0"/>
      </w:pPr>
      <w:r>
        <w:rPr>
          <w:rStyle w:val="font_h3"/>
        </w:rPr>
        <w:t xml:space="preserve">3.2.9. Ensemble répartiteur</w:t>
      </w:r>
    </w:p>
    <w:p>
      <w:pPr>
        <w:ind w:left="1440" w:right="0"/>
      </w:pPr>
      <w:r>
        <w:rPr>
          <w:rStyle w:val="font_h3"/>
        </w:rPr>
        <w:t xml:space="preserve">3.2.10. Système de régulation</w:t>
      </w:r>
    </w:p>
    <w:p>
      <w:pPr>
        <w:ind w:left="720" w:right="0"/>
      </w:pPr>
      <w:r>
        <w:rPr>
          <w:rStyle w:val="font_h2"/>
        </w:rPr>
        <w:t xml:space="preserve">3.3. Table de compression</w:t>
      </w:r>
    </w:p>
    <w:p>
      <w:pPr>
        <w:ind w:left="1440" w:right="0"/>
      </w:pPr>
      <w:r>
        <w:rPr>
          <w:rStyle w:val="font_h3"/>
        </w:rPr>
        <w:t xml:space="preserve">3.3.1. treillis soudé métallique</w:t>
      </w:r>
    </w:p>
    <w:p>
      <w:pPr>
        <w:ind w:left="1440" w:right="0"/>
      </w:pPr>
      <w:r>
        <w:rPr>
          <w:rStyle w:val="font_h3"/>
        </w:rPr>
        <w:t xml:space="preserve">3.3.2. Béton coulé en œuvre</w:t>
      </w:r>
    </w:p>
    <w:p>
      <w:pPr>
        <w:ind w:left="720" w:right="0"/>
      </w:pPr>
      <w:r>
        <w:rPr>
          <w:rStyle w:val="font_h2"/>
        </w:rPr>
        <w:t xml:space="preserve">3.4. Revêtements de sols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Plancher à poutrelles</w:t>
      </w:r>
    </w:p>
    <w:p>
      <w:pPr>
        <w:ind w:left="720" w:right="0"/>
      </w:pPr>
      <w:r>
        <w:rPr>
          <w:rStyle w:val="font_h2"/>
        </w:rPr>
        <w:t xml:space="preserve">4.2. Composants de chauffage</w:t>
      </w:r>
    </w:p>
    <w:p>
      <w:pPr/>
      <w:r>
        <w:rPr>
          <w:rStyle w:val="font_h1"/>
        </w:rPr>
        <w:t xml:space="preserve">5. Conception - dimensionnement</w:t>
      </w:r>
    </w:p>
    <w:p>
      <w:pPr>
        <w:ind w:left="720" w:right="0"/>
      </w:pPr>
      <w:r>
        <w:rPr>
          <w:rStyle w:val="font_h2"/>
        </w:rPr>
        <w:t xml:space="preserve">5.1. Conception et calculs structurels</w:t>
      </w:r>
    </w:p>
    <w:p>
      <w:pPr>
        <w:ind w:left="720" w:right="0"/>
      </w:pPr>
      <w:r>
        <w:rPr>
          <w:rStyle w:val="font_h2"/>
        </w:rPr>
        <w:t xml:space="preserve">5.2. Principe de positionnement des tubes et des panneaux de treillis soudés dans la dalle de compression</w:t>
      </w:r>
    </w:p>
    <w:p>
      <w:pPr/>
      <w:r>
        <w:rPr/>
        <w:t xml:space="preserve">Validé par le Groupe Spécialisé le 15/03/2019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Définition de l’enrobage minimal requis des tubes incorporés dans la table de compression de planchers à poutrelles, sauf justifications particulières :</w:t>
      </w:r>
    </w:p>
    <w:p>
      <w:pPr>
        <w:pPr/>
        <w:numPr>
          <w:ilvl w:val="0"/>
          <w:numId w:val="9"/>
        </w:numPr>
      </w:pPr>
      <w:r>
        <w:rPr/>
        <w:t xml:space="preserve">Sauf justification particulière, l’enrobage nominal au-dessus des tubes est de 45 mm (40+5 mm de tolérance) dans le cas des entrevous de coffrage résistant et 50 mm (40+5 mm de tolérance) dans le cas des entrevous de coffrage simple. </w:t>
      </w:r>
    </w:p>
    <w:p>
      <w:pPr>
        <w:pPr/>
        <w:numPr>
          <w:ilvl w:val="0"/>
          <w:numId w:val="9"/>
        </w:numPr>
      </w:pPr>
      <w:r>
        <w:rPr/>
        <w:t xml:space="preserve">Sauf justification particulière et afin de garantir le respect des règles de dérogation couture, la valeur nominale de l’enrobage entre le tube et le sommet des poutrelles doit être supérieure à 30 mm.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planchers à poutrelles, seuls des schémas avec les cotes nominales seront affichés.</w:t>
      </w:r>
    </w:p>
    <w:p>
      <w:pPr/>
      <w:r>
        <w:rPr/>
        <w:t xml:space="preserve">Les justifications doivent établir l'équivalence de performance entre un système avec réseau intégré à table de compression et sans. Elles porteront sur des systèmes de planchers identifiés avec l’engagement des titulaires de systèmes de planchers poutrelles à respecter.</w:t>
      </w:r>
    </w:p>
    <w:p>
      <w:pPr>
        <w:ind w:left="720" w:right="0"/>
      </w:pPr>
      <w:r>
        <w:rPr>
          <w:rStyle w:val="font_h2"/>
        </w:rPr>
        <w:t xml:space="preserve">5.3. Poutrelles</w:t>
      </w:r>
    </w:p>
    <w:p>
      <w:pPr>
        <w:ind w:left="720" w:right="0"/>
      </w:pPr>
      <w:r>
        <w:rPr>
          <w:rStyle w:val="font_h2"/>
        </w:rPr>
        <w:t xml:space="preserve">5.4. Dimensionnement du treillis soudé</w:t>
      </w:r>
    </w:p>
    <w:p>
      <w:pPr>
        <w:ind w:left="720" w:right="0"/>
      </w:pPr>
      <w:r>
        <w:rPr>
          <w:rStyle w:val="font_h2"/>
        </w:rPr>
        <w:t xml:space="preserve">5.5. Montages de planchers</w:t>
      </w:r>
    </w:p>
    <w:p>
      <w:pPr>
        <w:ind w:left="720" w:right="0"/>
      </w:pPr>
      <w:r>
        <w:rPr>
          <w:rStyle w:val="font_h2"/>
        </w:rPr>
        <w:t xml:space="preserve">5.6. Dimensionnement de l’isolation thermique des planchers</w:t>
      </w:r>
    </w:p>
    <w:p>
      <w:pPr>
        <w:ind w:left="1440" w:right="0"/>
      </w:pPr>
      <w:r>
        <w:rPr>
          <w:rStyle w:val="font_h3"/>
        </w:rPr>
        <w:t xml:space="preserve">5.6.1. Planchers bas et haut de sous-sol</w:t>
      </w:r>
    </w:p>
    <w:p>
      <w:pPr>
        <w:ind w:left="1440" w:right="0"/>
      </w:pPr>
      <w:r>
        <w:rPr>
          <w:rStyle w:val="font_h3"/>
        </w:rPr>
        <w:t xml:space="preserve">5.6.2. Planchers d’étage</w:t>
      </w:r>
    </w:p>
    <w:p>
      <w:pPr>
        <w:ind w:left="720" w:right="0"/>
      </w:pPr>
      <w:r>
        <w:rPr>
          <w:rStyle w:val="font_h2"/>
        </w:rPr>
        <w:t xml:space="preserve">5.7. Conception et dimensionnement du système de plancher chauffant</w:t>
      </w:r>
    </w:p>
    <w:p>
      <w:pPr/>
      <w:r>
        <w:rPr>
          <w:rStyle w:val="font_h1"/>
        </w:rPr>
        <w:t xml:space="preserve">6. Mise en œuvre</w:t>
      </w:r>
    </w:p>
    <w:p>
      <w:pPr>
        <w:ind w:left="720" w:right="0"/>
      </w:pPr>
      <w:r>
        <w:rPr>
          <w:rStyle w:val="font_h2"/>
        </w:rPr>
        <w:t xml:space="preserve">6.1. Pose du plancher structurel</w:t>
      </w:r>
    </w:p>
    <w:p>
      <w:pPr>
        <w:ind w:left="720" w:right="0"/>
      </w:pPr>
      <w:r>
        <w:rPr>
          <w:rStyle w:val="font_h2"/>
        </w:rPr>
        <w:t xml:space="preserve">6.2. Composants de chauffage</w:t>
      </w:r>
    </w:p>
    <w:p>
      <w:pPr>
        <w:ind w:left="1440" w:right="0"/>
      </w:pPr>
      <w:r>
        <w:rPr>
          <w:rStyle w:val="font_h3"/>
        </w:rPr>
        <w:t xml:space="preserve">6.2.1. Pose du grillage</w:t>
      </w:r>
    </w:p>
    <w:p>
      <w:pPr>
        <w:ind w:left="1440" w:right="0"/>
      </w:pPr>
      <w:r>
        <w:rPr>
          <w:rStyle w:val="font_h3"/>
        </w:rPr>
        <w:t xml:space="preserve">6.2.2. Pose du kit de remontée des tubes</w:t>
      </w:r>
    </w:p>
    <w:p>
      <w:pPr>
        <w:ind w:left="1440" w:right="0"/>
      </w:pPr>
      <w:r>
        <w:rPr>
          <w:rStyle w:val="font_h3"/>
        </w:rPr>
        <w:t xml:space="preserve">6.2.3. Pose des trames hydrauliques</w:t>
      </w:r>
    </w:p>
    <w:p>
      <w:pPr>
        <w:ind w:left="1440" w:right="0"/>
      </w:pPr>
      <w:r>
        <w:rPr>
          <w:rStyle w:val="font_h3"/>
        </w:rPr>
        <w:t xml:space="preserve">6.2.4. Mise en place des tubes de liaison</w:t>
      </w:r>
    </w:p>
    <w:p>
      <w:pPr>
        <w:ind w:left="1440" w:right="0"/>
      </w:pPr>
      <w:r>
        <w:rPr>
          <w:rStyle w:val="font_h3"/>
        </w:rPr>
        <w:t xml:space="preserve">6.2.5. Fixation des tubes sur le kit de remontée</w:t>
      </w:r>
    </w:p>
    <w:p>
      <w:pPr>
        <w:ind w:left="1440" w:right="0"/>
      </w:pPr>
      <w:r>
        <w:rPr>
          <w:rStyle w:val="font_h3"/>
        </w:rPr>
        <w:t xml:space="preserve">6.2.6. Essai à l'air comprimé</w:t>
      </w:r>
    </w:p>
    <w:p>
      <w:pPr>
        <w:ind w:left="1440" w:right="0"/>
      </w:pPr>
      <w:r>
        <w:rPr>
          <w:rStyle w:val="font_h3"/>
        </w:rPr>
        <w:t xml:space="preserve">6.2.7. Réparation</w:t>
      </w:r>
    </w:p>
    <w:p>
      <w:pPr>
        <w:ind w:left="1440" w:right="0"/>
      </w:pPr>
      <w:r>
        <w:rPr>
          <w:rStyle w:val="font_h3"/>
        </w:rPr>
        <w:t xml:space="preserve">6.2.8. Cohabitation avec les autres canalisations et gaines</w:t>
      </w:r>
    </w:p>
    <w:p>
      <w:pPr>
        <w:ind w:left="720" w:right="0"/>
      </w:pPr>
      <w:r>
        <w:rPr>
          <w:rStyle w:val="font_h2"/>
        </w:rPr>
        <w:t xml:space="preserve">6.3. Mise en place du treillis</w:t>
      </w:r>
    </w:p>
    <w:p>
      <w:pPr>
        <w:ind w:left="720" w:right="0"/>
      </w:pPr>
      <w:r>
        <w:rPr>
          <w:rStyle w:val="font_h2"/>
        </w:rPr>
        <w:t xml:space="preserve">6.4. Béton coulé en œuvre</w:t>
      </w:r>
    </w:p>
    <w:p>
      <w:pPr>
        <w:ind w:left="720" w:right="0"/>
      </w:pPr>
      <w:r>
        <w:rPr>
          <w:rStyle w:val="font_h2"/>
        </w:rPr>
        <w:t xml:space="preserve">6.5. Contrôles</w:t>
      </w:r>
    </w:p>
    <w:p>
      <w:pPr>
        <w:ind w:left="720" w:right="0"/>
      </w:pPr>
      <w:r>
        <w:rPr>
          <w:rStyle w:val="font_h2"/>
        </w:rPr>
        <w:t xml:space="preserve">6.6. Raccordement à la distribution</w:t>
      </w:r>
    </w:p>
    <w:p>
      <w:pPr>
        <w:ind w:left="1440" w:right="0"/>
      </w:pPr>
      <w:r>
        <w:rPr>
          <w:rStyle w:val="font_h3"/>
        </w:rPr>
        <w:t xml:space="preserve">6.6.1. Montage de l'ensemble répartiteur</w:t>
      </w:r>
    </w:p>
    <w:p>
      <w:pPr>
        <w:ind w:left="1440" w:right="0"/>
      </w:pPr>
      <w:r>
        <w:rPr>
          <w:rStyle w:val="font_h3"/>
        </w:rPr>
        <w:t xml:space="preserve">6.6.2. Remplissage, purge et équilibrage</w:t>
      </w:r>
    </w:p>
    <w:p>
      <w:pPr>
        <w:ind w:left="1440" w:right="0"/>
      </w:pPr>
      <w:r>
        <w:rPr>
          <w:rStyle w:val="font_h3"/>
        </w:rPr>
        <w:t xml:space="preserve">6.6.3. Signalétique</w:t>
      </w:r>
    </w:p>
    <w:p>
      <w:pPr>
        <w:ind w:left="720" w:right="0"/>
      </w:pPr>
      <w:r>
        <w:rPr>
          <w:rStyle w:val="font_h2"/>
        </w:rPr>
        <w:t xml:space="preserve">6.7. Principe de fonctionnement</w:t>
      </w:r>
    </w:p>
    <w:p>
      <w:pPr>
        <w:ind w:left="720" w:right="0"/>
      </w:pPr>
      <w:r>
        <w:rPr>
          <w:rStyle w:val="font_h2"/>
        </w:rPr>
        <w:t xml:space="preserve">6.8. Régimes d’eau</w:t>
      </w:r>
    </w:p>
    <w:p>
      <w:pPr>
        <w:ind w:left="720" w:right="0"/>
      </w:pPr>
      <w:r>
        <w:rPr>
          <w:rStyle w:val="font_h2"/>
        </w:rPr>
        <w:t xml:space="preserve">6.9. Première mise en chauffe</w:t>
      </w:r>
    </w:p>
    <w:p>
      <w:pPr>
        <w:ind w:left="720" w:right="0"/>
      </w:pPr>
      <w:r>
        <w:rPr>
          <w:rStyle w:val="font_h2"/>
        </w:rPr>
        <w:t xml:space="preserve">6.10. Cloisons, revêtements de sols et finitions</w:t>
      </w:r>
    </w:p>
    <w:p>
      <w:pPr/>
      <w:r>
        <w:rPr>
          <w:rStyle w:val="font_h1"/>
        </w:rPr>
        <w:t xml:space="preserve">7. Entretien</w:t>
      </w:r>
    </w:p>
    <w:p>
      <w:pPr/>
      <w:r>
        <w:rPr>
          <w:rStyle w:val="font_h1"/>
        </w:rPr>
        <w:t xml:space="preserve">8. Formation et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305F88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2026-06-21T23:40:55+02:00</dcterms:created>
  <dcterms:modified xsi:type="dcterms:W3CDTF">2026-06-21T23:40:55+02:00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