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Style w:val="font_default"/>
        </w:rPr>
        <w:t xml:space="preserve">Document entériné par le Groupe Spécialisé n° 3.1 - Édité le 07/05/2024</w:t>
      </w:r>
    </w:p>
    <w:p>
      <w:pPr>
        <w:pStyle w:val="paragraph_centered"/>
      </w:pPr>
      <w:r>
        <w:rPr>
          <w:rStyle w:val="font_h1"/>
        </w:rPr>
        <w:t xml:space="preserve">Liste minimale des éléments habituellement demandés par le Groupe Spécialisé</w:t>
      </w:r>
    </w:p>
    <w:p>
      <w:pPr/>
      <w:r>
        <w:rPr>
          <w:rStyle w:val="font_h2"/>
        </w:rPr>
        <w:t xml:space="preserve">Groupe Spécialisé n° 3.1 « Planchers et accessoires de plancher »</w:t>
      </w:r>
    </w:p>
    <w:p>
      <w:pPr/>
      <w:r>
        <w:rPr>
          <w:rStyle w:val="font_default"/>
        </w:rPr>
        <w:t xml:space="preserve">Famille de produits ou procédés : </w:t>
      </w:r>
      <w:r>
        <w:rPr>
          <w:rStyle w:val="font_h3"/>
        </w:rPr>
        <w:t xml:space="preserve">Plancher chauffant hydraulique mis en œuvre en structure</w:t>
      </w:r>
    </w:p>
    <w:p>
      <w:pPr/>
      <w:r>
        <w:rPr>
          <w:rStyle w:val="font_h1"/>
        </w:rPr>
        <w:t xml:space="preserve">1. Jurisprudence depuis 01/01/2017</w:t>
      </w:r>
    </w:p>
    <w:p>
      <w:pPr/>
      <w:r>
        <w:rPr>
          <w:rStyle w:val="font_h1"/>
        </w:rPr>
        <w:t xml:space="preserve">2. Principe</w:t>
      </w:r>
    </w:p>
    <w:p>
      <w:pPr/>
      <w:r>
        <w:rPr>
          <w:rStyle w:val="font_h1"/>
        </w:rPr>
        <w:t xml:space="preserve">3. Eléments constitutifs</w:t>
      </w:r>
    </w:p>
    <w:p>
      <w:pPr>
        <w:ind w:left="720" w:right="0"/>
      </w:pPr>
      <w:r>
        <w:rPr>
          <w:rStyle w:val="font_h2"/>
        </w:rPr>
        <w:t xml:space="preserve">3.1. Plancher à poutrelles</w:t>
      </w:r>
    </w:p>
    <w:p>
      <w:pPr>
        <w:ind w:left="1440" w:right="0"/>
      </w:pPr>
      <w:r>
        <w:rPr>
          <w:rStyle w:val="font_h3"/>
        </w:rPr>
        <w:t xml:space="preserve">3.1.1. Poutrelles précontraintes</w:t>
      </w:r>
    </w:p>
    <w:p>
      <w:pPr>
        <w:ind w:left="1440" w:right="0"/>
      </w:pPr>
      <w:r>
        <w:rPr>
          <w:rStyle w:val="font_h3"/>
        </w:rPr>
        <w:t xml:space="preserve">3.1.2. Entrevous isolants</w:t>
      </w:r>
    </w:p>
    <w:p>
      <w:pPr>
        <w:ind w:left="1440" w:right="0"/>
      </w:pPr>
      <w:r>
        <w:rPr>
          <w:rStyle w:val="font_h3"/>
        </w:rPr>
        <w:t xml:space="preserve">3.1.3. Entrevous</w:t>
      </w:r>
    </w:p>
    <w:p>
      <w:pPr>
        <w:ind w:left="1440" w:right="0"/>
      </w:pPr>
      <w:r>
        <w:rPr>
          <w:rStyle w:val="font_h3"/>
        </w:rPr>
        <w:t xml:space="preserve">3.1.4. Rupteurs de pont thermique</w:t>
      </w:r>
    </w:p>
    <w:p>
      <w:pPr>
        <w:ind w:left="720" w:right="0"/>
      </w:pPr>
      <w:r>
        <w:rPr>
          <w:rStyle w:val="font_h2"/>
        </w:rPr>
        <w:t xml:space="preserve">3.2. Composants de chauffage</w:t>
      </w:r>
    </w:p>
    <w:p>
      <w:pPr>
        <w:ind w:left="1440" w:right="0"/>
      </w:pPr>
      <w:r>
        <w:rPr>
          <w:rStyle w:val="font_h3"/>
        </w:rPr>
        <w:t xml:space="preserve">3.2.1. Trames et liaison au collecteur</w:t>
      </w:r>
    </w:p>
    <w:p>
      <w:pPr>
        <w:ind w:left="2160" w:right="0"/>
      </w:pPr>
      <w:r>
        <w:rPr>
          <w:rStyle w:val="font_h3"/>
        </w:rPr>
        <w:t xml:space="preserve">3.2.1.1. Tubes et raccords à sertir</w:t>
      </w:r>
    </w:p>
    <w:p>
      <w:pPr>
        <w:ind w:left="2160" w:right="0"/>
      </w:pPr>
      <w:r>
        <w:rPr>
          <w:rStyle w:val="font_h3"/>
        </w:rPr>
        <w:t xml:space="preserve">3.2.1.2. Trames</w:t>
      </w:r>
    </w:p>
    <w:p>
      <w:pPr>
        <w:ind w:left="1440" w:right="0"/>
      </w:pPr>
      <w:r>
        <w:rPr>
          <w:rStyle w:val="font_h3"/>
        </w:rPr>
        <w:t xml:space="preserve">3.2.2. Tubes de liaison et raccords à sertir</w:t>
      </w:r>
    </w:p>
    <w:p>
      <w:pPr>
        <w:ind w:left="1440" w:right="0"/>
      </w:pPr>
      <w:r>
        <w:rPr>
          <w:rStyle w:val="font_h3"/>
        </w:rPr>
        <w:t xml:space="preserve">3.2.3. Grillage</w:t>
      </w:r>
    </w:p>
    <w:p>
      <w:pPr>
        <w:ind w:left="1440" w:right="0"/>
      </w:pPr>
      <w:r>
        <w:rPr>
          <w:rStyle w:val="font_h3"/>
        </w:rPr>
        <w:t xml:space="preserve">3.2.4. Cavaliers de fixation à fixer manuellement sur entrevous</w:t>
      </w:r>
    </w:p>
    <w:p>
      <w:pPr>
        <w:ind w:left="1440" w:right="0"/>
      </w:pPr>
      <w:r>
        <w:rPr>
          <w:rStyle w:val="font_h3"/>
        </w:rPr>
        <w:t xml:space="preserve">3.2.5. Cavaliers de fixation à fixer avec agrafeuse sur entrevous</w:t>
      </w:r>
    </w:p>
    <w:p>
      <w:pPr>
        <w:ind w:left="1440" w:right="0"/>
      </w:pPr>
      <w:r>
        <w:rPr>
          <w:rStyle w:val="font_h3"/>
        </w:rPr>
        <w:t xml:space="preserve">3.2.6. Cavaliers de fixation sur entrevous</w:t>
      </w:r>
    </w:p>
    <w:p>
      <w:pPr>
        <w:ind w:left="1440" w:right="0"/>
      </w:pPr>
      <w:r>
        <w:rPr>
          <w:rStyle w:val="font_h3"/>
        </w:rPr>
        <w:t xml:space="preserve">3.2.7. Kit de remontée des tubes</w:t>
      </w:r>
    </w:p>
    <w:p>
      <w:pPr>
        <w:ind w:left="1440" w:right="0"/>
      </w:pPr>
      <w:r>
        <w:rPr>
          <w:rStyle w:val="font_h3"/>
        </w:rPr>
        <w:t xml:space="preserve">3.2.8. Kit de mise en épreuve</w:t>
      </w:r>
    </w:p>
    <w:p>
      <w:pPr>
        <w:ind w:left="1440" w:right="0"/>
      </w:pPr>
      <w:r>
        <w:rPr>
          <w:rStyle w:val="font_h3"/>
        </w:rPr>
        <w:t xml:space="preserve">3.2.9. Ensemble répartiteur</w:t>
      </w:r>
    </w:p>
    <w:p>
      <w:pPr>
        <w:ind w:left="1440" w:right="0"/>
      </w:pPr>
      <w:r>
        <w:rPr>
          <w:rStyle w:val="font_h3"/>
        </w:rPr>
        <w:t xml:space="preserve">3.2.10. Système de régulation</w:t>
      </w:r>
    </w:p>
    <w:p>
      <w:pPr>
        <w:ind w:left="720" w:right="0"/>
      </w:pPr>
      <w:r>
        <w:rPr>
          <w:rStyle w:val="font_h2"/>
        </w:rPr>
        <w:t xml:space="preserve">3.3. Table de compression</w:t>
      </w:r>
    </w:p>
    <w:p>
      <w:pPr>
        <w:ind w:left="1440" w:right="0"/>
      </w:pPr>
      <w:r>
        <w:rPr>
          <w:rStyle w:val="font_h3"/>
        </w:rPr>
        <w:t xml:space="preserve">3.3.1. treillis soudé métallique</w:t>
      </w:r>
    </w:p>
    <w:p>
      <w:pPr>
        <w:ind w:left="1440" w:right="0"/>
      </w:pPr>
      <w:r>
        <w:rPr>
          <w:rStyle w:val="font_h3"/>
        </w:rPr>
        <w:t xml:space="preserve">3.3.2. Béton coulé en œuvre</w:t>
      </w:r>
    </w:p>
    <w:p>
      <w:pPr>
        <w:ind w:left="720" w:right="0"/>
      </w:pPr>
      <w:r>
        <w:rPr>
          <w:rStyle w:val="font_h2"/>
        </w:rPr>
        <w:t xml:space="preserve">3.4. Revêtements de sols</w:t>
      </w:r>
    </w:p>
    <w:p>
      <w:pPr/>
      <w:r>
        <w:rPr>
          <w:rStyle w:val="font_h1"/>
        </w:rPr>
        <w:t xml:space="preserve">4. Fabrication et contrôles</w:t>
      </w:r>
    </w:p>
    <w:p>
      <w:pPr>
        <w:ind w:left="720" w:right="0"/>
      </w:pPr>
      <w:r>
        <w:rPr>
          <w:rStyle w:val="font_h2"/>
        </w:rPr>
        <w:t xml:space="preserve">4.1. Plancher à poutrelles</w:t>
      </w:r>
    </w:p>
    <w:p>
      <w:pPr>
        <w:ind w:left="720" w:right="0"/>
      </w:pPr>
      <w:r>
        <w:rPr>
          <w:rStyle w:val="font_h2"/>
        </w:rPr>
        <w:t xml:space="preserve">4.2. Composants de chauffage</w:t>
      </w:r>
    </w:p>
    <w:p>
      <w:pPr/>
      <w:r>
        <w:rPr>
          <w:rStyle w:val="font_h1"/>
        </w:rPr>
        <w:t xml:space="preserve">5. Conception - dimensionnement</w:t>
      </w:r>
    </w:p>
    <w:p>
      <w:pPr>
        <w:ind w:left="720" w:right="0"/>
      </w:pPr>
      <w:r>
        <w:rPr>
          <w:rStyle w:val="font_h2"/>
        </w:rPr>
        <w:t xml:space="preserve">5.1. Conception et calculs structurels</w:t>
      </w:r>
    </w:p>
    <w:p>
      <w:pPr>
        <w:ind w:left="720" w:right="0"/>
      </w:pPr>
      <w:r>
        <w:rPr>
          <w:rStyle w:val="font_h2"/>
        </w:rPr>
        <w:t xml:space="preserve">5.2. Principe de positionnement des tubes et des panneaux de treillis soudés dans la dalle de compression</w:t>
      </w:r>
    </w:p>
    <w:p>
      <w:pPr/>
      <w:r>
        <w:rPr/>
        <w:t xml:space="preserve">Validé par le Groupe Spécialisé le 15/03/2019</w:t>
      </w:r>
    </w:p>
    <w:p>
      <w:pPr/>
      <w:r>
        <w:rPr>
          <w:b/>
          <w:bCs/>
        </w:rPr>
        <w:t xml:space="preserve">Description</w:t>
      </w:r>
    </w:p>
    <w:p>
      <w:pPr/>
      <w:r>
        <w:rPr/>
        <w:t xml:space="preserve">Définition de l’enrobage minimal requis des tubes incorporés dans la table de compression de planchers à poutrelles, sauf justifications particulières :</w:t>
      </w:r>
    </w:p>
    <w:p>
      <w:pPr>
        <w:pPr/>
        <w:numPr>
          <w:ilvl w:val="0"/>
          <w:numId w:val="9"/>
        </w:numPr>
      </w:pPr>
      <w:r>
        <w:rPr/>
        <w:t xml:space="preserve">Sauf justification particulière, l’enrobage nominal au-dessus des tubes est de 45 mm (40+5 mm de tolérance) dans le cas des entrevous de coffrage résistant et 50 mm (40+5 mm de tolérance) dans le cas des entrevous de coffrage simple. </w:t>
      </w:r>
    </w:p>
    <w:p>
      <w:pPr>
        <w:pPr/>
        <w:numPr>
          <w:ilvl w:val="0"/>
          <w:numId w:val="9"/>
        </w:numPr>
      </w:pPr>
      <w:r>
        <w:rPr/>
        <w:t xml:space="preserve">Sauf justification particulière et afin de garantir le respect des règles de dérogation couture, la valeur nominale de l’enrobage entre le tube et le sommet des poutrelles doit être supérieure à 30 mm.</w:t>
      </w:r>
    </w:p>
    <w:p>
      <w:pPr/>
      <w:r>
        <w:rPr>
          <w:b/>
          <w:bCs/>
        </w:rPr>
        <w:t xml:space="preserve">Justification</w:t>
      </w:r>
    </w:p>
    <w:p>
      <w:pPr/>
      <w:r>
        <w:rPr/>
        <w:t xml:space="preserve">Pour les planchers à poutrelles, seuls des schémas avec les cotes nominales seront affichés.</w:t>
      </w:r>
    </w:p>
    <w:p>
      <w:pPr/>
      <w:r>
        <w:rPr/>
        <w:t xml:space="preserve">Les justifications doivent établir l'équivalence de performance entre un système avec réseau intégré à table de compression et sans. Elles porteront sur des systèmes de planchers identifiés avec l’engagement des titulaires de systèmes de planchers poutrelles à respecter.</w:t>
      </w:r>
    </w:p>
    <w:p>
      <w:pPr>
        <w:ind w:left="720" w:right="0"/>
      </w:pPr>
      <w:r>
        <w:rPr>
          <w:rStyle w:val="font_h2"/>
        </w:rPr>
        <w:t xml:space="preserve">5.3. Poutrelles</w:t>
      </w:r>
    </w:p>
    <w:p>
      <w:pPr>
        <w:ind w:left="720" w:right="0"/>
      </w:pPr>
      <w:r>
        <w:rPr>
          <w:rStyle w:val="font_h2"/>
        </w:rPr>
        <w:t xml:space="preserve">5.4. Dimensionnement du treillis soudé</w:t>
      </w:r>
    </w:p>
    <w:p>
      <w:pPr>
        <w:ind w:left="720" w:right="0"/>
      </w:pPr>
      <w:r>
        <w:rPr>
          <w:rStyle w:val="font_h2"/>
        </w:rPr>
        <w:t xml:space="preserve">5.5. Montages de planchers</w:t>
      </w:r>
    </w:p>
    <w:p>
      <w:pPr>
        <w:ind w:left="720" w:right="0"/>
      </w:pPr>
      <w:r>
        <w:rPr>
          <w:rStyle w:val="font_h2"/>
        </w:rPr>
        <w:t xml:space="preserve">5.6. Dimensionnement de l’isolation thermique des planchers</w:t>
      </w:r>
    </w:p>
    <w:p>
      <w:pPr>
        <w:ind w:left="1440" w:right="0"/>
      </w:pPr>
      <w:r>
        <w:rPr>
          <w:rStyle w:val="font_h3"/>
        </w:rPr>
        <w:t xml:space="preserve">5.6.1. Planchers bas et haut de sous-sol</w:t>
      </w:r>
    </w:p>
    <w:p>
      <w:pPr>
        <w:ind w:left="1440" w:right="0"/>
      </w:pPr>
      <w:r>
        <w:rPr>
          <w:rStyle w:val="font_h3"/>
        </w:rPr>
        <w:t xml:space="preserve">5.6.2. Planchers d’étage</w:t>
      </w:r>
    </w:p>
    <w:p>
      <w:pPr>
        <w:ind w:left="720" w:right="0"/>
      </w:pPr>
      <w:r>
        <w:rPr>
          <w:rStyle w:val="font_h2"/>
        </w:rPr>
        <w:t xml:space="preserve">5.7. Conception et dimensionnement du système de plancher chauffant</w:t>
      </w:r>
    </w:p>
    <w:p>
      <w:pPr/>
      <w:r>
        <w:rPr>
          <w:rStyle w:val="font_h1"/>
        </w:rPr>
        <w:t xml:space="preserve">6. Mise en œuvre</w:t>
      </w:r>
    </w:p>
    <w:p>
      <w:pPr>
        <w:ind w:left="720" w:right="0"/>
      </w:pPr>
      <w:r>
        <w:rPr>
          <w:rStyle w:val="font_h2"/>
        </w:rPr>
        <w:t xml:space="preserve">6.1. Pose du plancher structurel</w:t>
      </w:r>
    </w:p>
    <w:p>
      <w:pPr>
        <w:ind w:left="720" w:right="0"/>
      </w:pPr>
      <w:r>
        <w:rPr>
          <w:rStyle w:val="font_h2"/>
        </w:rPr>
        <w:t xml:space="preserve">6.2. Composants de chauffage</w:t>
      </w:r>
    </w:p>
    <w:p>
      <w:pPr>
        <w:ind w:left="1440" w:right="0"/>
      </w:pPr>
      <w:r>
        <w:rPr>
          <w:rStyle w:val="font_h3"/>
        </w:rPr>
        <w:t xml:space="preserve">6.2.1. Pose du grillage</w:t>
      </w:r>
    </w:p>
    <w:p>
      <w:pPr>
        <w:ind w:left="1440" w:right="0"/>
      </w:pPr>
      <w:r>
        <w:rPr>
          <w:rStyle w:val="font_h3"/>
        </w:rPr>
        <w:t xml:space="preserve">6.2.2. Pose du kit de remontée des tubes</w:t>
      </w:r>
    </w:p>
    <w:p>
      <w:pPr>
        <w:ind w:left="1440" w:right="0"/>
      </w:pPr>
      <w:r>
        <w:rPr>
          <w:rStyle w:val="font_h3"/>
        </w:rPr>
        <w:t xml:space="preserve">6.2.3. Pose des trames hydrauliques</w:t>
      </w:r>
    </w:p>
    <w:p>
      <w:pPr>
        <w:ind w:left="1440" w:right="0"/>
      </w:pPr>
      <w:r>
        <w:rPr>
          <w:rStyle w:val="font_h3"/>
        </w:rPr>
        <w:t xml:space="preserve">6.2.4. Mise en place des tubes de liaison</w:t>
      </w:r>
    </w:p>
    <w:p>
      <w:pPr>
        <w:ind w:left="1440" w:right="0"/>
      </w:pPr>
      <w:r>
        <w:rPr>
          <w:rStyle w:val="font_h3"/>
        </w:rPr>
        <w:t xml:space="preserve">6.2.5. Fixation des tubes sur le kit de remontée</w:t>
      </w:r>
    </w:p>
    <w:p>
      <w:pPr>
        <w:ind w:left="1440" w:right="0"/>
      </w:pPr>
      <w:r>
        <w:rPr>
          <w:rStyle w:val="font_h3"/>
        </w:rPr>
        <w:t xml:space="preserve">6.2.6. Essai à l'air comprimé</w:t>
      </w:r>
    </w:p>
    <w:p>
      <w:pPr>
        <w:ind w:left="1440" w:right="0"/>
      </w:pPr>
      <w:r>
        <w:rPr>
          <w:rStyle w:val="font_h3"/>
        </w:rPr>
        <w:t xml:space="preserve">6.2.7. Réparation</w:t>
      </w:r>
    </w:p>
    <w:p>
      <w:pPr>
        <w:ind w:left="1440" w:right="0"/>
      </w:pPr>
      <w:r>
        <w:rPr>
          <w:rStyle w:val="font_h3"/>
        </w:rPr>
        <w:t xml:space="preserve">6.2.8. Cohabitation avec les autres canalisations et gaines</w:t>
      </w:r>
    </w:p>
    <w:p>
      <w:pPr>
        <w:ind w:left="720" w:right="0"/>
      </w:pPr>
      <w:r>
        <w:rPr>
          <w:rStyle w:val="font_h2"/>
        </w:rPr>
        <w:t xml:space="preserve">6.3. Mise en place du treillis</w:t>
      </w:r>
    </w:p>
    <w:p>
      <w:pPr>
        <w:ind w:left="720" w:right="0"/>
      </w:pPr>
      <w:r>
        <w:rPr>
          <w:rStyle w:val="font_h2"/>
        </w:rPr>
        <w:t xml:space="preserve">6.4. Béton coulé en œuvre</w:t>
      </w:r>
    </w:p>
    <w:p>
      <w:pPr>
        <w:ind w:left="720" w:right="0"/>
      </w:pPr>
      <w:r>
        <w:rPr>
          <w:rStyle w:val="font_h2"/>
        </w:rPr>
        <w:t xml:space="preserve">6.5. Contrôles</w:t>
      </w:r>
    </w:p>
    <w:p>
      <w:pPr>
        <w:ind w:left="720" w:right="0"/>
      </w:pPr>
      <w:r>
        <w:rPr>
          <w:rStyle w:val="font_h2"/>
        </w:rPr>
        <w:t xml:space="preserve">6.6. Raccordement à la distribution</w:t>
      </w:r>
    </w:p>
    <w:p>
      <w:pPr>
        <w:ind w:left="1440" w:right="0"/>
      </w:pPr>
      <w:r>
        <w:rPr>
          <w:rStyle w:val="font_h3"/>
        </w:rPr>
        <w:t xml:space="preserve">6.6.1. Montage de l'ensemble répartiteur</w:t>
      </w:r>
    </w:p>
    <w:p>
      <w:pPr>
        <w:ind w:left="1440" w:right="0"/>
      </w:pPr>
      <w:r>
        <w:rPr>
          <w:rStyle w:val="font_h3"/>
        </w:rPr>
        <w:t xml:space="preserve">6.6.2. Remplissage, purge et équilibrage</w:t>
      </w:r>
    </w:p>
    <w:p>
      <w:pPr>
        <w:ind w:left="1440" w:right="0"/>
      </w:pPr>
      <w:r>
        <w:rPr>
          <w:rStyle w:val="font_h3"/>
        </w:rPr>
        <w:t xml:space="preserve">6.6.3. Signalétique</w:t>
      </w:r>
    </w:p>
    <w:p>
      <w:pPr>
        <w:ind w:left="720" w:right="0"/>
      </w:pPr>
      <w:r>
        <w:rPr>
          <w:rStyle w:val="font_h2"/>
        </w:rPr>
        <w:t xml:space="preserve">6.7. Principe de fonctionnement</w:t>
      </w:r>
    </w:p>
    <w:p>
      <w:pPr>
        <w:ind w:left="720" w:right="0"/>
      </w:pPr>
      <w:r>
        <w:rPr>
          <w:rStyle w:val="font_h2"/>
        </w:rPr>
        <w:t xml:space="preserve">6.8. Régimes d’eau</w:t>
      </w:r>
    </w:p>
    <w:p>
      <w:pPr>
        <w:ind w:left="720" w:right="0"/>
      </w:pPr>
      <w:r>
        <w:rPr>
          <w:rStyle w:val="font_h2"/>
        </w:rPr>
        <w:t xml:space="preserve">6.9. Première mise en chauffe</w:t>
      </w:r>
    </w:p>
    <w:p>
      <w:pPr>
        <w:ind w:left="720" w:right="0"/>
      </w:pPr>
      <w:r>
        <w:rPr>
          <w:rStyle w:val="font_h2"/>
        </w:rPr>
        <w:t xml:space="preserve">6.10. Cloisons, revêtements de sols et finitions</w:t>
      </w:r>
    </w:p>
    <w:p>
      <w:pPr/>
      <w:r>
        <w:rPr>
          <w:rStyle w:val="font_h1"/>
        </w:rPr>
        <w:t xml:space="preserve">7. Entretien</w:t>
      </w:r>
    </w:p>
    <w:p>
      <w:pPr/>
      <w:r>
        <w:rPr>
          <w:rStyle w:val="font_h1"/>
        </w:rPr>
        <w:t xml:space="preserve">8. Formation et assistance technique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paragraph_footer"/>
    </w:pPr>
    <w:r>
      <w:rPr>
        <w:rStyle w:val="font_footer"/>
      </w:rPr>
      <w:t xml:space="preserve">Secrétariat : 84 avenue Jean-Jaurès – Champs-sur-Marne – F-77447 Marne-la-Vallée Cedex 2</w:t>
    </w:r>
    <w:br/>
    <w:r>
      <w:rPr>
        <w:rStyle w:val="font_footer"/>
      </w:rPr>
      <w:t xml:space="preserve">Tel : (33)01.64.68.85.60 - Fax : (33)01.64.68.85.65</w:t>
    </w:r>
    <w:br/>
    <w:r>
      <w:rPr>
        <w:rStyle w:val="font_footer"/>
      </w:rPr>
      <w:t xml:space="preserve">Serveur Internet : http://www.cstb.fr - E-mail : secretariat.at@cstb.fr</w:t>
    </w:r>
    <w:br/>
  </w:p>
  <w:p>
    <w:pPr>
      <w:pStyle w:val="paragraph_footer"/>
    </w:pPr>
    <w:r>
      <w:rPr>
        <w:rStyle w:val="font_footer"/>
      </w:rPr>
      <w:t xml:space="preserve">Page </w:t>
    </w:r>
    <w:r>
      <w:fldChar w:fldCharType="begin"/>
    </w:r>
    <w:r>
      <w:rPr>
        <w:rStyle w:val="font_footer"/>
      </w:rPr>
      <w:instrText xml:space="preserve">PAGE</w:instrText>
    </w:r>
    <w:r>
      <w:fldChar w:fldCharType="separate"/>
    </w:r>
    <w:r>
      <w:fldChar w:fldCharType="end"/>
    </w:r>
    <w:r>
      <w:rPr>
        <w:rStyle w:val="font_footer"/>
      </w:rPr>
      <w:t xml:space="preserve"> sur </w:t>
    </w:r>
    <w:r>
      <w:fldChar w:fldCharType="begin"/>
    </w:r>
    <w:r>
      <w:rPr>
        <w:rStyle w:val="font_footer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</w:p>
  <w:p>
    <w:pPr/>
    <w:r>
      <w:pict>
        <v:shape type="#_x0000_t75" style="width:170pt; height:60pt; margin-left:0pt; margin-top:0pt; mso-position-horizontal:left; mso-position-vertical:top; mso-position-horizontal-relative:char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">
    <w:nsid w:val="8FA2AAE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9">
    <w:abstractNumId w:val="9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font_default">
    <w:name w:val="font_default"/>
    <w:basedOn w:val="Normal"/>
    <w:pPr>
      <w:spacing w:line="240" w:lineRule="auto"/>
    </w:pPr>
    <w:rPr>
      <w:rFonts w:ascii="Calibri" w:hAnsi="Calibri" w:eastAsia="Calibri" w:cs="Calibri"/>
      <w:color w:val="000000"/>
      <w:sz w:val="22"/>
      <w:szCs w:val="22"/>
    </w:rPr>
  </w:style>
  <w:style w:type="character">
    <w:name w:val="font_h1"/>
    <w:rPr>
      <w:rFonts w:ascii="Calibri" w:hAnsi="Calibri" w:eastAsia="Calibri" w:cs="Calibri"/>
      <w:color w:val="000000"/>
      <w:sz w:val="28"/>
      <w:szCs w:val="28"/>
      <w:b/>
      <w:bCs/>
    </w:rPr>
  </w:style>
  <w:style w:type="character">
    <w:name w:val="font_h2"/>
    <w:rPr>
      <w:rFonts w:ascii="Calibri" w:hAnsi="Calibri" w:eastAsia="Calibri" w:cs="Calibri"/>
      <w:color w:val="000000"/>
      <w:sz w:val="24"/>
      <w:szCs w:val="24"/>
      <w:b/>
      <w:bCs/>
    </w:rPr>
  </w:style>
  <w:style w:type="character">
    <w:name w:val="font_h3"/>
    <w:rPr>
      <w:rFonts w:ascii="Calibri" w:hAnsi="Calibri" w:eastAsia="Calibri" w:cs="Calibri"/>
      <w:color w:val="000000"/>
      <w:sz w:val="22"/>
      <w:szCs w:val="22"/>
      <w:b/>
      <w:bCs/>
    </w:rPr>
  </w:style>
  <w:style w:type="character">
    <w:name w:val="font_footer"/>
    <w:rPr>
      <w:rFonts w:ascii="Calibri" w:hAnsi="Calibri" w:eastAsia="Calibri" w:cs="Calibri"/>
      <w:color w:val="000000"/>
      <w:sz w:val="20"/>
      <w:szCs w:val="20"/>
    </w:rPr>
  </w:style>
  <w:style w:type="paragraph" w:customStyle="1" w:styleId="paragraph_centered">
    <w:name w:val="paragraph_centered"/>
    <w:basedOn w:val="Normal"/>
    <w:pPr>
      <w:jc w:val="center"/>
    </w:pPr>
  </w:style>
  <w:style w:type="paragraph" w:customStyle="1" w:styleId="paragraph_footer">
    <w:name w:val="paragraph_footer"/>
    <w:basedOn w:val="Normal"/>
    <w:pPr>
      <w:jc w:val="center"/>
      <w:spacing w:after="0" w:line="240" w:lineRule="auto"/>
    </w:pPr>
  </w:style>
  <w:style w:type="table" w:customStyle="1" w:styleId="table">
    <w:name w:val="table"/>
    <w:uiPriority w:val="99"/>
    <w:tblPr>
      <w:tblW w:w="0" w:type="auto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444444"/>
        <w:left w:val="single" w:sz="6" w:color="444444"/>
        <w:right w:val="single" w:sz="6" w:color="444444"/>
        <w:bottom w:val="single" w:sz="6" w:color="444444"/>
        <w:insideH w:val="single" w:sz="6" w:color="444444"/>
        <w:insideV w:val="single" w:sz="6" w:color="444444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2024-05-07T07:57:55+02:00</dcterms:created>
  <dcterms:modified xsi:type="dcterms:W3CDTF">2024-05-07T07:57:55+02:00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