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mixte bois et béton</w:t>
      </w:r>
    </w:p>
    <w:p>
      <w:pPr/>
      <w:r>
        <w:rPr>
          <w:rStyle w:val="font_h1"/>
        </w:rPr>
        <w:t xml:space="preserve">1. Principe et domaine d'emploi</w:t>
      </w:r>
    </w:p>
    <w:p>
      <w:pPr/>
      <w:r>
        <w:rPr/>
        <w:t xml:space="preserve">Validé par le Groupe Spécialisé le 24/01/2024</w:t>
      </w:r>
    </w:p>
    <w:p>
      <w:pPr/>
      <w:r>
        <w:rPr>
          <w:b/>
          <w:bCs/>
        </w:rPr>
        <w:t xml:space="preserve">Description</w:t>
      </w:r>
    </w:p>
    <w:p>
      <w:pPr>
        <w:pPr/>
        <w:numPr>
          <w:ilvl w:val="0"/>
          <w:numId w:val="9"/>
        </w:numPr>
      </w:pPr>
      <w:r>
        <w:rPr/>
        <w:t xml:space="preserve">Description succincte du type de plancher (béton coulé en place ou panneaux préfabriqués), du principe de connexion et des types de tables de compression visés (dalle pleine, plancher à prédalles, planchers sur bacs aciers, etc.)</w:t>
      </w:r>
    </w:p>
    <w:p>
      <w:pPr>
        <w:pPr/>
        <w:numPr>
          <w:ilvl w:val="0"/>
          <w:numId w:val="9"/>
        </w:numPr>
      </w:pPr>
      <w:r>
        <w:rPr/>
        <w:t xml:space="preserve">Définition du domaine d’emploi revendiqué (type d’ouvrage, lieux géographiques) ; habitations (famille), Etablissements Recevant du Public (catégorie, type, etc.), tertiaires, bâtiments industriels, Classes de service au sens de la NF EN 1995-1 catégories d’usage (A, B, C, etc, au sens de la NF EN 1991-1-1)</w:t>
      </w:r>
    </w:p>
    <w:p>
      <w:pPr>
        <w:pPr/>
        <w:numPr>
          <w:ilvl w:val="0"/>
          <w:numId w:val="9"/>
        </w:numPr>
      </w:pPr>
      <w:r>
        <w:rPr/>
        <w:t xml:space="preserve">Zones sismiques et catégories d’importance des bâtiments revendiquées</w:t>
      </w:r>
    </w:p>
    <w:p>
      <w:pPr>
        <w:pPr/>
        <w:numPr>
          <w:ilvl w:val="0"/>
          <w:numId w:val="9"/>
        </w:numPr>
      </w:pPr>
      <w:r>
        <w:rPr/>
        <w:t xml:space="preserve">Natures des charges revendiquées : statique, quasi-statiques, roulantes, chocs, fatigues, vibrations, etc.</w:t>
      </w:r>
    </w:p>
    <w:p>
      <w:pPr>
        <w:pPr/>
        <w:numPr>
          <w:ilvl w:val="0"/>
          <w:numId w:val="9"/>
        </w:numPr>
      </w:pPr>
      <w:r>
        <w:rPr/>
        <w:t xml:space="preserve">Classement hygrométrique des locaux revendiqués</w:t>
      </w:r>
    </w:p>
    <w:p>
      <w:pPr>
        <w:pPr/>
        <w:numPr>
          <w:ilvl w:val="0"/>
          <w:numId w:val="9"/>
        </w:numPr>
      </w:pPr>
      <w:r>
        <w:rPr/>
        <w:t xml:space="preserve">Interaction revendiquée avec d’autres types de support (ossature bois, panneaux bois, béton, maçonnerie, etc.)</w:t>
      </w:r>
    </w:p>
    <w:p>
      <w:pPr>
        <w:pPr/>
        <w:numPr>
          <w:ilvl w:val="0"/>
          <w:numId w:val="9"/>
        </w:numPr>
      </w:pPr>
      <w:r>
        <w:rPr/>
        <w:t xml:space="preserve">Construction neuve/rénovation</w:t>
      </w:r>
    </w:p>
    <w:p>
      <w:pPr>
        <w:pPr/>
        <w:numPr>
          <w:ilvl w:val="0"/>
          <w:numId w:val="9"/>
        </w:numPr>
      </w:pPr>
      <w:r>
        <w:rPr/>
        <w:t xml:space="preserve">Utilisation revendiquée dans les DROM-COM</w:t>
      </w:r>
    </w:p>
    <w:p>
      <w:pPr>
        <w:pPr/>
        <w:numPr>
          <w:ilvl w:val="0"/>
          <w:numId w:val="9"/>
        </w:numPr>
      </w:pPr>
      <w:r>
        <w:rPr/>
        <w:t xml:space="preserve">Finitions et revêtement revendiqués</w:t>
      </w:r>
    </w:p>
    <w:p>
      <w:pPr>
        <w:pPr/>
        <w:numPr>
          <w:ilvl w:val="0"/>
          <w:numId w:val="9"/>
        </w:numPr>
      </w:pPr>
      <w:r>
        <w:rPr/>
        <w:t xml:space="preserve">Utilisation en plancher support d'étanchéité revendiquée (classement au sens du DTU 20.12)</w:t>
      </w:r>
    </w:p>
    <w:p>
      <w:pPr/>
      <w:r>
        <w:rPr>
          <w:b/>
          <w:bCs/>
        </w:rPr>
        <w:t xml:space="preserve">Justification</w:t>
      </w:r>
    </w:p>
    <w:p>
      <w:pPr/>
      <w:r>
        <w:rPr/>
        <w:t xml:space="preserve">Liste de références de réalisations en précisant pour chacune d’elles la situation, le type et la date de mise en service de l’ouvrage, ainsi que les coordonnées des principaux intervenants.</w:t>
      </w:r>
    </w:p>
    <w:p>
      <w:pPr/>
      <w:r>
        <w:rPr>
          <w:rStyle w:val="font_h1"/>
        </w:rPr>
        <w:t xml:space="preserve">2. Matériaux et composants</w:t>
      </w:r>
    </w:p>
    <w:p>
      <w:pPr/>
      <w:r>
        <w:rPr/>
        <w:t xml:space="preserve">Validé par le Groupe Spécialisé le 30/01/2025</w:t>
      </w:r>
    </w:p>
    <w:p>
      <w:pPr/>
      <w:r>
        <w:rPr>
          <w:b/>
          <w:bCs/>
        </w:rPr>
        <w:t xml:space="preserve">Description</w:t>
      </w:r>
    </w:p>
    <w:p>
      <w:pPr/>
      <w:r>
        <w:rPr/>
        <w:t xml:space="preserve">Décrire les matériaux constitutifs du procédé :</w:t>
      </w:r>
    </w:p>
    <w:p>
      <w:pPr>
        <w:pPr/>
        <w:numPr>
          <w:ilvl w:val="0"/>
          <w:numId w:val="10"/>
        </w:numPr>
      </w:pPr>
      <w:r>
        <w:rPr/>
        <w:t xml:space="preserve">Composants bois (nature, géométrie, humidité, classe de résistance, conformité aux exigences de la norme produit correspondante selon produit : ex NF EN 14080 pour BLC, marquage/certification)</w:t>
      </w:r>
    </w:p>
    <w:p>
      <w:pPr>
        <w:pPr/>
        <w:numPr>
          <w:ilvl w:val="0"/>
          <w:numId w:val="10"/>
        </w:numPr>
      </w:pPr>
      <w:r>
        <w:rPr/>
        <w:t xml:space="preserve">Connexions (matériau et conformité à la norme de ce matériau, classe de résistance et norme associée, dimensions, coupes cotées/dessins de détails, appellation commerciale/industrielle du composant, marquage et certification) et éventuellement adhésifs dans le cas de connecteurs collés (nature de l’adhésif, classement en colle structurale type I ou II, appellation industrielle/commerciale de l’adhésif)</w:t>
      </w:r>
    </w:p>
    <w:p>
      <w:pPr>
        <w:pPr/>
        <w:numPr>
          <w:ilvl w:val="0"/>
          <w:numId w:val="10"/>
        </w:numPr>
      </w:pPr>
      <w:r>
        <w:rPr/>
        <w:t xml:space="preserve">Béton (préciser la nature du ciment et justifier la conformité à la norme NF EN 206+A2/CN, dimension maximale du granulat, classe de consistance (S3, S4, béton autoplaçant))</w:t>
      </w:r>
    </w:p>
    <w:p>
      <w:pPr>
        <w:pPr/>
        <w:numPr>
          <w:ilvl w:val="0"/>
          <w:numId w:val="10"/>
        </w:numPr>
      </w:pPr>
      <w:r>
        <w:rPr/>
        <w:t xml:space="preserve">Armatures (caractéristiques minimales)</w:t>
      </w:r>
    </w:p>
    <w:p>
      <w:pPr>
        <w:pPr/>
        <w:numPr>
          <w:ilvl w:val="0"/>
          <w:numId w:val="10"/>
        </w:numPr>
      </w:pPr>
      <w:r>
        <w:rPr/>
        <w:t xml:space="preserve">Panneaux de coffrage (matériau et norme associés, épaisseur minimale, marquage/certification)</w:t>
      </w:r>
    </w:p>
    <w:p>
      <w:pPr>
        <w:pPr/>
        <w:numPr>
          <w:ilvl w:val="0"/>
          <w:numId w:val="10"/>
        </w:numPr>
      </w:pPr>
      <w:r>
        <w:rPr/>
        <w:t xml:space="preserve">Isolant le cas échéant (matériau et normes associés, épaisseur, classe de résistance, marquage/certification)</w:t>
      </w:r>
    </w:p>
    <w:p>
      <w:pPr>
        <w:pPr/>
        <w:numPr>
          <w:ilvl w:val="0"/>
          <w:numId w:val="10"/>
        </w:numPr>
      </w:pPr>
      <w:r>
        <w:rPr/>
        <w:t xml:space="preserve">Dispositif de protection des solives et du coffrage perdu vis-à-vis de l’humidité lors du bétonnage le cas échéant</w:t>
      </w:r>
    </w:p>
    <w:p>
      <w:pPr>
        <w:pPr/>
        <w:numPr>
          <w:ilvl w:val="0"/>
          <w:numId w:val="10"/>
        </w:numPr>
      </w:pPr>
      <w:r>
        <w:rPr/>
        <w:t xml:space="preserve">Produits de préservation. Type de produits utilisés, compatibilité avec les matériaux des connexions.</w:t>
      </w:r>
    </w:p>
    <w:p>
      <w:pPr/>
      <w:r>
        <w:rPr>
          <w:b/>
          <w:bCs/>
        </w:rPr>
        <w:t xml:space="preserve">Justification</w:t>
      </w:r>
    </w:p>
    <w:p>
      <w:pPr/>
      <w:r>
        <w:rPr/>
        <w:t xml:space="preserve">Certificats, déclaration de performances si existants</w:t>
      </w:r>
    </w:p>
    <w:p>
      <w:pPr/>
      <w:r>
        <w:rPr>
          <w:rStyle w:val="font_h1"/>
        </w:rPr>
        <w:t xml:space="preserve">3. Fabrication et contrôle</w:t>
      </w:r>
    </w:p>
    <w:p>
      <w:pPr/>
      <w:r>
        <w:rPr/>
        <w:t xml:space="preserve">Validé par le Groupe Spécialisé le 08/10/2019</w:t>
      </w:r>
    </w:p>
    <w:p>
      <w:pPr/>
      <w:r>
        <w:rPr>
          <w:b/>
          <w:bCs/>
        </w:rPr>
        <w:t xml:space="preserve">Description</w:t>
      </w:r>
    </w:p>
    <w:p>
      <w:pPr>
        <w:pPr/>
        <w:numPr>
          <w:ilvl w:val="0"/>
          <w:numId w:val="11"/>
        </w:numPr>
      </w:pPr>
      <w:r>
        <w:rPr/>
        <w:t xml:space="preserve">Description du processus de fabrication des produits </w:t>
      </w:r>
    </w:p>
    <w:p>
      <w:pPr>
        <w:pPr/>
        <w:numPr>
          <w:ilvl w:val="0"/>
          <w:numId w:val="11"/>
        </w:numPr>
      </w:pPr>
      <w:r>
        <w:rPr/>
        <w:t xml:space="preserve">Cas des connexions réalisées en usine</w:t>
      </w:r>
    </w:p>
    <w:p>
      <w:pPr>
        <w:pPr/>
        <w:numPr>
          <w:ilvl w:val="0"/>
          <w:numId w:val="11"/>
        </w:numPr>
      </w:pPr>
      <w:r>
        <w:rPr/>
        <w:t xml:space="preserve">Cas des connexions réalisées sur chantier</w:t>
      </w:r>
    </w:p>
    <w:p>
      <w:pPr>
        <w:pPr/>
        <w:numPr>
          <w:ilvl w:val="0"/>
          <w:numId w:val="11"/>
        </w:numPr>
      </w:pPr>
      <w:r>
        <w:rPr/>
        <w:t xml:space="preserve">Description du système de contrôle de production et du suivi par tierce partie éventuel</w:t>
      </w:r>
    </w:p>
    <w:p>
      <w:pPr/>
      <w:r>
        <w:rPr>
          <w:b/>
          <w:bCs/>
        </w:rPr>
        <w:t xml:space="preserve">Justification</w:t>
      </w:r>
    </w:p>
    <w:p>
      <w:pPr/>
      <w:r>
        <w:rPr/>
        <w:t xml:space="preserve">Plan Assurance Qualité usine et/ou chantier</w:t>
      </w:r>
    </w:p>
    <w:p>
      <w:pPr/>
      <w:r>
        <w:rPr/>
        <w:t xml:space="preserve">Justification du suivi par tierce partie éventuel</w:t>
      </w:r>
    </w:p>
    <w:p>
      <w:pPr/>
      <w:r>
        <w:rPr>
          <w:rStyle w:val="font_h1"/>
        </w:rPr>
        <w:t xml:space="preserve">4. Dimensionnement</w:t>
      </w:r>
    </w:p>
    <w:p>
      <w:pPr>
        <w:ind w:left="720" w:right="0"/>
      </w:pPr>
      <w:r>
        <w:rPr>
          <w:rStyle w:val="font_h2"/>
        </w:rPr>
        <w:t xml:space="preserve">4.1. Caractéristiques des composants</w:t>
      </w:r>
    </w:p>
    <w:p>
      <w:pPr/>
      <w:r>
        <w:rPr/>
        <w:t xml:space="preserve">Validé par le Groupe Spécialisé le 24/01/2024</w:t>
      </w:r>
    </w:p>
    <w:p>
      <w:pPr/>
      <w:r>
        <w:rPr>
          <w:b/>
          <w:bCs/>
        </w:rPr>
        <w:t xml:space="preserve">Description</w:t>
      </w:r>
    </w:p>
    <w:p>
      <w:pPr>
        <w:pPr/>
        <w:numPr>
          <w:ilvl w:val="0"/>
          <w:numId w:val="12"/>
        </w:numPr>
      </w:pPr>
      <w:r>
        <w:rPr/>
        <w:t xml:space="preserve">Caractéristiques de la raideur des connexions et de leur capacité résistante à reprendre les efforts de cisaillement et d’arrachement (le cas échéant) </w:t>
      </w:r>
    </w:p>
    <w:p>
      <w:pPr>
        <w:pPr/>
        <w:numPr>
          <w:ilvl w:val="0"/>
          <w:numId w:val="12"/>
        </w:numPr>
      </w:pPr>
      <w:r>
        <w:rPr/>
        <w:t xml:space="preserve">Caractéristiques de la rigidité efficace de la section (Initiale) 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l’Annexe D de l’Eurocode 0.</w:t>
      </w:r>
    </w:p>
    <w:p>
      <w:pPr/>
      <w:r>
        <w:rPr>
          <w:b/>
          <w:bCs/>
        </w:rPr>
        <w:t xml:space="preserve">Justification</w:t>
      </w:r>
    </w:p>
    <w:p>
      <w:pPr>
        <w:pPr/>
        <w:numPr>
          <w:ilvl w:val="0"/>
          <w:numId w:val="13"/>
        </w:numPr>
      </w:pPr>
      <w:r>
        <w:rPr/>
        <w:t xml:space="preserve">Caractérisation de la raideur des connexions et de leur capacité résistante à reprendre les efforts de cisaillement et d’arrachement (le cas échéant) :</w:t>
      </w:r>
    </w:p>
    <w:p>
      <w:pPr/>
      <w:r>
        <w:rPr/>
        <w:t xml:space="preserve">Détermination par calcul selon les normes appropriées (ex : connecteurs ergots selon la norme EN 1994-1-1 pour la partie béton ou détermination expérimentale (Essais de cisaillement bois/connecteur/béton selon l’Annexe B de la norme EN 1994-1-1) et prise en compte éventuelle des directions de sollicitation selon la géométrie du connecteur. </w:t>
      </w:r>
    </w:p>
    <w:p>
      <w:pPr/>
      <w:r>
        <w:rPr/>
        <w:t xml:space="preserve">Pour le cas particulier des connexions mobilisées par adhérence, les essais de cisaillement doivent être réalisés en neutralisant le collage chimique du béton et du support et dans une configuration qui ne conduit pas à comprimer le plan de cisaillement. Lorsqu’une traction sur le plan de cisaillement est possible, il convient d’étudier l’effet de la traction sur la résistance au cisaillement de la connexion.</w:t>
      </w:r>
    </w:p>
    <w:p>
      <w:pPr/>
      <w:r>
        <w:rPr/>
        <w:t xml:space="preserve">Caractérisation des interactions de connecteurs</w:t>
      </w:r>
    </w:p>
    <w:p>
      <w:pPr>
        <w:pPr/>
        <w:numPr>
          <w:ilvl w:val="0"/>
          <w:numId w:val="14"/>
        </w:numPr>
      </w:pPr>
      <w:r>
        <w:rPr/>
        <w:t xml:space="preserve">Caractéristiques de la rigidité efficace de la section</w:t>
      </w:r>
    </w:p>
    <w:p>
      <w:pPr/>
      <w:r>
        <w:rPr/>
        <w:t xml:space="preserve">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 ’Annexe D de l’Eurocode 0.</w:t>
      </w:r>
    </w:p>
    <w:p>
      <w:pPr/>
      <w:r>
        <w:rPr/>
        <w:t xml:space="preserve">Sauf justification particulière, la rigidité efficace de la section à l’infini doit être déterminée en référence la norme XP CEN/TS 19103.</w:t>
      </w:r>
    </w:p>
    <w:p>
      <w:pPr>
        <w:ind w:left="720" w:right="0"/>
      </w:pPr>
      <w:r>
        <w:rPr>
          <w:rStyle w:val="font_h2"/>
        </w:rPr>
        <w:t xml:space="preserve">4.2. Stabilité en phase provisoire</w:t>
      </w:r>
    </w:p>
    <w:p>
      <w:pPr/>
      <w:r>
        <w:rPr/>
        <w:t xml:space="preserve">Validé par le Groupe Spécialisé le 08/10/2019</w:t>
      </w:r>
    </w:p>
    <w:p>
      <w:pPr/>
      <w:r>
        <w:rPr>
          <w:b/>
          <w:bCs/>
        </w:rPr>
        <w:t xml:space="preserve">Description</w:t>
      </w:r>
    </w:p>
    <w:p>
      <w:pPr/>
      <w:r>
        <w:rPr/>
        <w:t xml:space="preserve">Décrire les vérifications faites lors des phases provisoires et les hypothèses.</w:t>
      </w:r>
    </w:p>
    <w:p>
      <w:pPr/>
      <w:r>
        <w:rPr>
          <w:b/>
          <w:bCs/>
        </w:rPr>
        <w:t xml:space="preserve">Justification</w:t>
      </w:r>
    </w:p>
    <w:p>
      <w:pPr/>
      <w:r>
        <w:rPr/>
        <w:t xml:space="preserve">Un exemple de note de calcul en phase provisoire est attendu.</w:t>
      </w:r>
    </w:p>
    <w:p>
      <w:pPr>
        <w:pPr/>
        <w:numPr>
          <w:ilvl w:val="0"/>
          <w:numId w:val="15"/>
        </w:numPr>
      </w:pPr>
      <w:r>
        <w:rPr/>
        <w:t xml:space="preserve">Justification pour les phases de levage et de transport (cas des dalles bois préfabriquées), justification mécanique des dispositifs de levage, nombre minimal et répartition des points d’ancrage, vérification de I’impact éventuel du transport et de la manutention des dalles sur leur dimensionnement.</w:t>
      </w:r>
    </w:p>
    <w:p>
      <w:pPr>
        <w:pPr/>
        <w:numPr>
          <w:ilvl w:val="0"/>
          <w:numId w:val="15"/>
        </w:numPr>
      </w:pPr>
      <w:r>
        <w:rPr/>
        <w:t xml:space="preserve">Justification de la stabilité en phase provisoire ; prise en compte des charges de constructions selon la norme NF EN 1991-1-6 (0,75 kN/m², charge appliquée à l’extérieur de l’aire de travail et 1,5 kN/m², charge appliquée sur l’aire de travail de dimensions en plan 3m x 3m)</w:t>
      </w:r>
    </w:p>
    <w:p>
      <w:pPr>
        <w:pPr/>
        <w:numPr>
          <w:ilvl w:val="0"/>
          <w:numId w:val="15"/>
        </w:numPr>
      </w:pPr>
      <w:r>
        <w:rPr/>
        <w:t xml:space="preserve">Justification des dispositifs d’étaiement</w:t>
      </w:r>
    </w:p>
    <w:p>
      <w:pPr>
        <w:pPr/>
        <w:numPr>
          <w:ilvl w:val="0"/>
          <w:numId w:val="15"/>
        </w:numPr>
      </w:pPr>
      <w:r>
        <w:rPr/>
        <w:t xml:space="preserve">Justification des éléments bois en phase provisoire</w:t>
      </w:r>
    </w:p>
    <w:p>
      <w:pPr>
        <w:pPr/>
        <w:numPr>
          <w:ilvl w:val="0"/>
          <w:numId w:val="15"/>
        </w:numPr>
      </w:pPr>
      <w:r>
        <w:rPr/>
        <w:t xml:space="preserve">Solives ou dalles massives bois : Charges aux appuis, fléchissement avec prise en compte de la charge de béton additionnelle du au fléchissement</w:t>
      </w:r>
    </w:p>
    <w:p>
      <w:pPr>
        <w:pPr/>
        <w:numPr>
          <w:ilvl w:val="0"/>
          <w:numId w:val="15"/>
        </w:numPr>
      </w:pPr>
      <w:r>
        <w:rPr/>
        <w:t xml:space="preserve">Vérification aux Etats Limites Ultimes (moment fléchissant et effort tranchant)</w:t>
      </w:r>
    </w:p>
    <w:p>
      <w:pPr>
        <w:pPr/>
        <w:numPr>
          <w:ilvl w:val="0"/>
          <w:numId w:val="15"/>
        </w:numPr>
      </w:pPr>
      <w:r>
        <w:rPr/>
        <w:t xml:space="preserve">Vérification aux Etats Limites de Service. Intégration des critères de flèches admissibles selon les aspects de sous face exigés.</w:t>
      </w:r>
    </w:p>
    <w:p>
      <w:pPr>
        <w:pPr/>
        <w:numPr>
          <w:ilvl w:val="0"/>
          <w:numId w:val="15"/>
        </w:numPr>
      </w:pPr>
      <w:r>
        <w:rPr/>
        <w:t xml:space="preserve">Platelages : fixation aux solives, fléchissement sous l’effet des  charges de construction (coulage du béton, circulation des opérateurs.. selon NF EN 1991-1-6) résistance à un chargement ponctuel de 150 daN (selon NF EN 12871).</w:t>
      </w:r>
    </w:p>
    <w:p>
      <w:pPr>
        <w:ind w:left="720" w:right="0"/>
      </w:pPr>
      <w:r>
        <w:rPr>
          <w:rStyle w:val="font_h2"/>
        </w:rPr>
        <w:t xml:space="preserve">4.3. Stabilité en phase définitive</w:t>
      </w:r>
    </w:p>
    <w:p>
      <w:pPr/>
      <w:r>
        <w:rPr/>
        <w:t xml:space="preserve">Validé par le Groupe Spécialisé le 30/01/2025</w:t>
      </w:r>
    </w:p>
    <w:p>
      <w:pPr/>
      <w:r>
        <w:rPr>
          <w:b/>
          <w:bCs/>
        </w:rPr>
        <w:t xml:space="preserve">Description</w:t>
      </w:r>
    </w:p>
    <w:p>
      <w:pPr/>
      <w:r>
        <w:rPr/>
        <w:t xml:space="preserve">Décrire la méthode dimensionnement en phase définitive.</w:t>
      </w:r>
    </w:p>
    <w:p>
      <w:pPr/>
      <w:r>
        <w:rPr>
          <w:b/>
          <w:bCs/>
        </w:rPr>
        <w:t xml:space="preserve">Justification</w:t>
      </w:r>
    </w:p>
    <w:p>
      <w:pPr/>
      <w:r>
        <w:rPr/>
        <w:t xml:space="preserve">Un exemple de note de calcul en phase définitive est attendu.</w:t>
      </w:r>
    </w:p>
    <w:p>
      <w:pPr>
        <w:pPr/>
        <w:numPr>
          <w:ilvl w:val="0"/>
          <w:numId w:val="16"/>
        </w:numPr>
      </w:pPr>
      <w:r>
        <w:rPr/>
        <w:t xml:space="preserve">Justification de la portée efficace prise en compte : (Exemple de la méthode décrite dans la norme NF EN 1992-1-1 §5.3.2.2)</w:t>
      </w:r>
    </w:p>
    <w:p>
      <w:pPr>
        <w:pPr/>
        <w:numPr>
          <w:ilvl w:val="0"/>
          <w:numId w:val="16"/>
        </w:numPr>
      </w:pPr>
      <w:r>
        <w:rPr/>
        <w:t xml:space="preserve">Justification de largeur de dalle béton à prendre en compte (perpendiculairement aux solives). Exemple de la méthode de la largeur collaborante selon la NF EN 1994-1-1</w:t>
      </w:r>
    </w:p>
    <w:p>
      <w:pPr>
        <w:pPr/>
        <w:numPr>
          <w:ilvl w:val="0"/>
          <w:numId w:val="16"/>
        </w:numPr>
      </w:pPr>
      <w:r>
        <w:rPr/>
        <w:t xml:space="preserve">Justification de la stabilité en phase définitive aux états limites ultimes</w:t>
      </w:r>
    </w:p>
    <w:p>
      <w:pPr>
        <w:pPr/>
        <w:numPr>
          <w:ilvl w:val="1"/>
          <w:numId w:val="16"/>
        </w:numPr>
      </w:pPr>
      <w:r>
        <w:rPr/>
        <w:t xml:space="preserve">Justification de la méthode de prise en compte des efforts induits par le retrait des éventuels dispositifs d’étaiement</w:t>
      </w:r>
    </w:p>
    <w:p>
      <w:pPr>
        <w:pPr/>
        <w:numPr>
          <w:ilvl w:val="1"/>
          <w:numId w:val="16"/>
        </w:numPr>
      </w:pPr>
      <w:r>
        <w:rPr/>
        <w:t xml:space="preserve">Justification de la reprise des efforts de flexion ; vérification des éléments bois, de la dalle béton  et de la connexion.</w:t>
      </w:r>
    </w:p>
    <w:p>
      <w:pPr>
        <w:pPr/>
        <w:numPr>
          <w:ilvl w:val="1"/>
          <w:numId w:val="16"/>
        </w:numPr>
      </w:pPr>
      <w:r>
        <w:rPr/>
        <w:t xml:space="preserve">Justification de la reprise des efforts de flexion-compression ; vérification des éléments bois, de la dalle béton et de la connexion.</w:t>
      </w:r>
    </w:p>
    <w:p>
      <w:pPr>
        <w:pPr/>
        <w:numPr>
          <w:ilvl w:val="1"/>
          <w:numId w:val="16"/>
        </w:numPr>
      </w:pPr>
      <w:r>
        <w:rPr/>
        <w:t xml:space="preserve">Justification de la reprise des efforts de cisaillement ; vérification des éléments bois, de la dalle béton et de la connexion.</w:t>
      </w:r>
    </w:p>
    <w:p>
      <w:pPr>
        <w:pPr/>
        <w:numPr>
          <w:ilvl w:val="1"/>
          <w:numId w:val="16"/>
        </w:numPr>
      </w:pPr>
      <w:r>
        <w:rPr/>
        <w:t xml:space="preserve">Justification de la reprise des efforts de compression sur appuis</w:t>
      </w:r>
    </w:p>
    <w:p>
      <w:pPr>
        <w:pPr/>
        <w:numPr>
          <w:ilvl w:val="1"/>
          <w:numId w:val="16"/>
        </w:numPr>
      </w:pPr>
      <w:r>
        <w:rPr/>
        <w:t xml:space="preserve">Ferraillage minimum</w:t>
      </w:r>
    </w:p>
    <w:p>
      <w:pPr>
        <w:pPr/>
        <w:numPr>
          <w:ilvl w:val="1"/>
          <w:numId w:val="16"/>
        </w:numPr>
      </w:pPr>
      <w:r>
        <w:rPr/>
        <w:t xml:space="preserve">Justification en flexion transversales (cas des chargements élevés)</w:t>
      </w:r>
    </w:p>
    <w:p>
      <w:pPr>
        <w:pPr/>
        <w:numPr>
          <w:ilvl w:val="0"/>
          <w:numId w:val="16"/>
        </w:numPr>
      </w:pPr>
      <w:r>
        <w:rPr/>
        <w:t xml:space="preserve">Justification des déformations aux Etats Limites de Services (ELS)</w:t>
      </w:r>
    </w:p>
    <w:p>
      <w:pPr>
        <w:pPr/>
        <w:numPr>
          <w:ilvl w:val="1"/>
          <w:numId w:val="16"/>
        </w:numPr>
      </w:pPr>
      <w:r>
        <w:rPr/>
        <w:t xml:space="preserve">Vérification de la flèche instantanée</w:t>
      </w:r>
    </w:p>
    <w:p>
      <w:pPr>
        <w:pPr/>
        <w:numPr>
          <w:ilvl w:val="1"/>
          <w:numId w:val="16"/>
        </w:numPr>
      </w:pPr>
      <w:r>
        <w:rPr/>
        <w:t xml:space="preserve">Vérification flèche finale</w:t>
      </w:r>
    </w:p>
    <w:p>
      <w:pPr>
        <w:pPr/>
        <w:numPr>
          <w:ilvl w:val="1"/>
          <w:numId w:val="16"/>
        </w:numPr>
      </w:pPr>
      <w:r>
        <w:rPr/>
        <w:t xml:space="preserve">Vérification de la flèche active pouvant nuire à l’intégrité des cloisons ou aux revêtements de sols </w:t>
      </w:r>
    </w:p>
    <w:p>
      <w:pPr>
        <w:pPr/>
        <w:numPr>
          <w:ilvl w:val="0"/>
          <w:numId w:val="16"/>
        </w:numPr>
      </w:pPr>
      <w:r>
        <w:rPr/>
        <w:t xml:space="preserve">Justification de la contribution du plancher pour le contreventement des ouvrages</w:t>
      </w:r>
    </w:p>
    <w:p>
      <w:pPr>
        <w:pPr/>
        <w:numPr>
          <w:ilvl w:val="1"/>
          <w:numId w:val="16"/>
        </w:numPr>
      </w:pPr>
      <w:r>
        <w:rPr/>
        <w:t xml:space="preserve">Description des liaisons des planchers à l’ouvrage et lorsqu’ils sont sollicités au cisaillement dans le sens perpendiculaire au sens de portée du plancher, justification des connecteurs soumis à des efforts de cisaillement concomitants</w:t>
      </w:r>
    </w:p>
    <w:p>
      <w:pPr>
        <w:pPr/>
        <w:numPr>
          <w:ilvl w:val="0"/>
          <w:numId w:val="16"/>
        </w:numPr>
      </w:pPr>
      <w:r>
        <w:rPr/>
        <w:t xml:space="preserve">Justifications particulières concernant la réalisation des trémies et autres réservations dans la table de compression</w:t>
      </w:r>
    </w:p>
    <w:p>
      <w:pPr>
        <w:pPr/>
        <w:numPr>
          <w:ilvl w:val="1"/>
          <w:numId w:val="16"/>
        </w:numPr>
      </w:pPr>
      <w:r>
        <w:rPr/>
        <w:t xml:space="preserve">Justification du report des charges au pourtour de l’ouverture. </w:t>
      </w:r>
    </w:p>
    <w:p>
      <w:pPr>
        <w:pPr/>
        <w:numPr>
          <w:ilvl w:val="1"/>
          <w:numId w:val="16"/>
        </w:numPr>
      </w:pPr>
      <w:r>
        <w:rPr/>
        <w:t xml:space="preserve">Justification différenciée pour les grandes et petites trémies (sur une ou plusieurs travées de solives), justification des chevêtres</w:t>
      </w:r>
    </w:p>
    <w:p>
      <w:pPr>
        <w:pPr/>
        <w:numPr>
          <w:ilvl w:val="1"/>
          <w:numId w:val="16"/>
        </w:numPr>
      </w:pPr>
      <w:r>
        <w:rPr/>
        <w:t xml:space="preserve">Justification du ferraillage pour ancrages aux connecteurs et ferraillage de rive des trémies</w:t>
      </w:r>
    </w:p>
    <w:p>
      <w:pPr>
        <w:pPr/>
        <w:numPr>
          <w:ilvl w:val="0"/>
          <w:numId w:val="16"/>
        </w:numPr>
      </w:pPr>
      <w:r>
        <w:rPr/>
        <w:t xml:space="preserve">Justifications particulières concernant la réalisation de percements dans les solives</w:t>
      </w:r>
    </w:p>
    <w:p>
      <w:pPr>
        <w:pPr/>
        <w:numPr>
          <w:ilvl w:val="1"/>
          <w:numId w:val="16"/>
        </w:numPr>
      </w:pPr>
      <w:r>
        <w:rPr/>
        <w:t xml:space="preserve">Justification de la méthode de calcul quelles que soient la forme, la dimension et la position des percements dans les solives</w:t>
      </w:r>
    </w:p>
    <w:p>
      <w:pPr>
        <w:pPr/>
        <w:numPr>
          <w:ilvl w:val="0"/>
          <w:numId w:val="16"/>
        </w:numPr>
      </w:pPr>
      <w:r>
        <w:rPr/>
        <w:t xml:space="preserve">Justifications particulières en cas de domaine d’emploi impliquant des chocs ou des charges susceptibles d’engendrer de la fatigue (ex : charges roulantes)</w:t>
      </w:r>
    </w:p>
    <w:p>
      <w:pPr>
        <w:pPr/>
        <w:numPr>
          <w:ilvl w:val="1"/>
          <w:numId w:val="16"/>
        </w:numPr>
      </w:pPr>
      <w:r>
        <w:rPr/>
        <w:t xml:space="preserve">Ferraillage permettant la reprise d’effort tranchant (disposition, sections, enrobages)</w:t>
      </w:r>
    </w:p>
    <w:p>
      <w:pPr>
        <w:pPr/>
        <w:numPr>
          <w:ilvl w:val="1"/>
          <w:numId w:val="16"/>
        </w:numPr>
      </w:pPr>
      <w:r>
        <w:rPr/>
        <w:t xml:space="preserve">Ferraillage permettant la reprise des inversions de moment sur appuis (disposition, sections, enrobages)</w:t>
      </w:r>
    </w:p>
    <w:p>
      <w:pPr>
        <w:pPr/>
        <w:numPr>
          <w:ilvl w:val="0"/>
          <w:numId w:val="16"/>
        </w:numPr>
      </w:pPr>
      <w:r>
        <w:rPr/>
        <w:t xml:space="preserve">Justifications particulières pour les cas autres que les travées isostatiques – traitement de la continuité de la partie bois.</w:t>
      </w:r>
      <w:r>
        <w:rPr/>
        <w:t xml:space="preserve">Note : même lorsque le calcul n’est pas réalisé en continuité, un moment forfaitaire doit être repris sous l’effet d’un moment négatif afin de garantir l’intégrité de l’ouvrage de revêtement.</w:t>
      </w:r>
    </w:p>
    <w:p>
      <w:pPr>
        <w:pPr/>
        <w:numPr>
          <w:ilvl w:val="0"/>
          <w:numId w:val="16"/>
        </w:numPr>
      </w:pPr>
      <w:r>
        <w:rPr/>
        <w:t xml:space="preserve">Justifications particulières pour les cas de balcons (dimensionnement à l’ELU et à l’ELS, traitement de l’étanchéité, …).</w:t>
      </w:r>
    </w:p>
    <w:p>
      <w:pPr>
        <w:pPr/>
        <w:numPr>
          <w:ilvl w:val="0"/>
          <w:numId w:val="16"/>
        </w:numPr>
      </w:pPr>
      <w:r>
        <w:rPr/>
        <w:t xml:space="preserve">Les effets du retrait du béton et du bois doivent être pris en compte dans les vérifications de l'état limite ultime et de l'état limite de service. Les dispositions de la norme XP CEN/TS 19103 (janvier 2022) peuvent être appliquées.</w:t>
      </w:r>
    </w:p>
    <w:p>
      <w:pPr>
        <w:ind w:left="720" w:right="0"/>
      </w:pPr>
      <w:r>
        <w:rPr>
          <w:rStyle w:val="font_h2"/>
        </w:rPr>
        <w:t xml:space="preserve">4.4. Limitation des flèches</w:t>
      </w:r>
    </w:p>
    <w:p>
      <w:pPr/>
      <w:r>
        <w:rPr/>
        <w:t xml:space="preserve">Validé par le Groupe Spécialisé le 26/01/2023</w:t>
      </w:r>
    </w:p>
    <w:p>
      <w:pPr/>
      <w:r>
        <w:rPr>
          <w:b/>
          <w:bCs/>
        </w:rPr>
        <w:t xml:space="preserve">Description</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7"/>
        </w:numPr>
      </w:pPr>
      <w:r>
        <w:rPr/>
        <w:t xml:space="preserve">les déformations différées sous l'action du poids propre du plancher,</w:t>
      </w:r>
    </w:p>
    <w:p>
      <w:pPr>
        <w:pPr/>
        <w:numPr>
          <w:ilvl w:val="0"/>
          <w:numId w:val="17"/>
        </w:numPr>
      </w:pPr>
      <w:r>
        <w:rPr/>
        <w:t xml:space="preserve">les déformations totales dues aux charges permanentes mises en œuvre après les éléments fragiles,</w:t>
      </w:r>
    </w:p>
    <w:p>
      <w:pPr>
        <w:pPr/>
        <w:numPr>
          <w:ilvl w:val="0"/>
          <w:numId w:val="17"/>
        </w:numPr>
      </w:pPr>
      <w:r>
        <w:rPr/>
        <w:t xml:space="preserve">les déformations différées sous l’action de toutes les charges permanentes,</w:t>
      </w:r>
    </w:p>
    <w:p>
      <w:pPr>
        <w:pPr/>
        <w:numPr>
          <w:ilvl w:val="0"/>
          <w:numId w:val="17"/>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18"/>
        </w:numPr>
      </w:pPr>
      <w:r>
        <w:rPr/>
        <w:t xml:space="preserve">L/350 pour L≤7,00 m</w:t>
      </w:r>
    </w:p>
    <w:p>
      <w:pPr>
        <w:pPr/>
        <w:numPr>
          <w:ilvl w:val="0"/>
          <w:numId w:val="18"/>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19"/>
        </w:numPr>
      </w:pPr>
      <w:r>
        <w:rPr/>
        <w:t xml:space="preserve">L/500 pour L≤5,00 m</w:t>
      </w:r>
    </w:p>
    <w:p>
      <w:pPr>
        <w:pPr/>
        <w:numPr>
          <w:ilvl w:val="0"/>
          <w:numId w:val="19"/>
        </w:numPr>
      </w:pPr>
      <w:r>
        <w:rPr/>
        <w:t xml:space="preserve">0,5 cm + L/1000 pour L5,00 m</w:t>
      </w:r>
    </w:p>
    <w:p>
      <w:pPr/>
      <w:r>
        <w:rPr/>
        <w:t xml:space="preserve">Le fléchissement dû à toutes les charges (Wnet,fin) est limité conventionnellement à L/250. Pour une utilisation en toiture [le cas échéant], la flèche totale est limitée à L/350. La flèche est calculée en considérant les caractéristiques mécaniques finales du procédé.Le fléchissement dû aux actions variables seules (Winst(Q)) est limité conventionnellement à L/300.</w:t>
      </w:r>
    </w:p>
    <w:p>
      <w:pPr>
        <w:ind w:left="720" w:right="0"/>
      </w:pPr>
      <w:r>
        <w:rPr>
          <w:rStyle w:val="font_h2"/>
        </w:rPr>
        <w:t xml:space="preserve">4.5. Dispositions particulières relatives à la nature de la table de compression</w:t>
      </w:r>
    </w:p>
    <w:p>
      <w:pPr/>
      <w:r>
        <w:rPr/>
        <w:t xml:space="preserve">Validé par le Groupe Spécialisé le 24/01/2024</w:t>
      </w:r>
    </w:p>
    <w:p>
      <w:pPr/>
      <w:r>
        <w:rPr>
          <w:b/>
          <w:bCs/>
        </w:rPr>
        <w:t xml:space="preserve">Description</w:t>
      </w:r>
    </w:p>
    <w:p>
      <w:pPr/>
      <w:r>
        <w:rPr/>
        <w:t xml:space="preserve">L’ensemble des types de table de compression visées doivent être décrits (dalle pleine, prédalles, bacs acier, etc.). L’association de certains types de planchers constituant la table de compression avec des procédés de planchers mixtes bois-béton, ou plus généralement les supports bois, n’est pas couverte par les normes d’exécution dont ils relèvent, Dans ce cas, les dispositions particulières doivent être portées par l’Avis Technique de plancher mixte bois-béton.</w:t>
      </w:r>
    </w:p>
    <w:p>
      <w:pPr/>
      <w:r>
        <w:rPr/>
        <w:t xml:space="preserve">Pour chaque type de table de compression, les dispositions particulières relatives au dimensionnement en phase provisoire et définitive, à la conception et à la mise en œuvre du plancher mixte et du plancher formant table de compression doivent être décrite.</w:t>
      </w:r>
    </w:p>
    <w:p>
      <w:pPr/>
      <w:r>
        <w:rPr/>
        <w:t xml:space="preserve">Par exemple : </w:t>
      </w:r>
    </w:p>
    <w:p>
      <w:pPr>
        <w:pPr/>
        <w:numPr>
          <w:ilvl w:val="0"/>
          <w:numId w:val="20"/>
        </w:numPr>
      </w:pPr>
      <w:r>
        <w:rPr/>
        <w:t xml:space="preserve">Table de compression sur prédalle : conflit entre armatures dépassantes et connecteurs, section béton à considérer pour le calcul de la section mixte, largeur repos, épaisseur de prédalle et table de compression, etc.)</w:t>
      </w:r>
    </w:p>
    <w:p>
      <w:pPr>
        <w:pPr/>
        <w:numPr>
          <w:ilvl w:val="0"/>
          <w:numId w:val="20"/>
        </w:numPr>
      </w:pPr>
      <w:r>
        <w:rPr/>
        <w:t xml:space="preserve">Table de compression sur bac acier (continuité des bacs, conflit entre nervures des dalles et connecteurs, ancrage des connecteur, etc.)</w:t>
      </w:r>
    </w:p>
    <w:p>
      <w:pPr/>
      <w:r>
        <w:rPr>
          <w:b/>
          <w:bCs/>
        </w:rPr>
        <w:t xml:space="preserve">Justification</w:t>
      </w:r>
    </w:p>
    <w:p>
      <w:pPr/>
      <w:r>
        <w:rPr/>
        <w:t xml:space="preserve">Exemple de notes de calculs et schémas côtés d’association des solives/poutres et des différents types de tables de compression et les possibilités de liaisons au support.</w:t>
      </w:r>
    </w:p>
    <w:p>
      <w:pPr/>
      <w:r>
        <w:rPr>
          <w:rStyle w:val="font_h1"/>
        </w:rPr>
        <w:t xml:space="preserve">5. Séisme</w:t>
      </w:r>
    </w:p>
    <w:p>
      <w:pPr/>
      <w:r>
        <w:rPr/>
        <w:t xml:space="preserve">Validé par le Groupe Spécialisé le 24/01/2024</w:t>
      </w:r>
    </w:p>
    <w:p>
      <w:pPr/>
      <w:r>
        <w:rPr>
          <w:b/>
          <w:bCs/>
        </w:rPr>
        <w:t xml:space="preserve">Description</w:t>
      </w:r>
    </w:p>
    <w:p>
      <w:pPr/>
      <w:r>
        <w:rPr/>
        <w:t xml:space="preserve">Décrire les dispositions particulières pour la justification de la stabilité sous action sismique.</w:t>
      </w:r>
    </w:p>
    <w:p>
      <w:pPr/>
      <w:r>
        <w:rPr>
          <w:b/>
          <w:bCs/>
        </w:rPr>
        <w:t xml:space="preserve">Justification</w:t>
      </w:r>
    </w:p>
    <w:p>
      <w:pPr/>
      <w:r>
        <w:rPr/>
        <w:t xml:space="preserve">Un exemple de note de calcul est attendu en fonction des solutions revendiquées. Par exemple :</w:t>
      </w:r>
    </w:p>
    <w:p>
      <w:pPr>
        <w:pPr/>
        <w:numPr>
          <w:ilvl w:val="0"/>
          <w:numId w:val="21"/>
        </w:numPr>
      </w:pPr>
      <w:r>
        <w:rPr/>
        <w:t xml:space="preserve">Cas des planchers sur supports béton ou maçonnerie : positionnement et dimensionnement du chaînage périphérique, ancrage dans le chaînage, épaisseur minimale de dalle béton, ferraillage minimum.</w:t>
      </w:r>
    </w:p>
    <w:p>
      <w:pPr>
        <w:pPr/>
        <w:numPr>
          <w:ilvl w:val="0"/>
          <w:numId w:val="21"/>
        </w:numPr>
      </w:pPr>
      <w:r>
        <w:rPr/>
        <w:t xml:space="preserve">Cas des planchers sur support bois : fonction tirant-buton assurée par les connecteurs </w:t>
      </w:r>
    </w:p>
    <w:p>
      <w:pPr/>
      <w:r>
        <w:rPr/>
        <w:t xml:space="preserve">Les justifications à produire sont :</w:t>
      </w:r>
    </w:p>
    <w:p>
      <w:pPr>
        <w:pPr/>
        <w:numPr>
          <w:ilvl w:val="0"/>
          <w:numId w:val="22"/>
        </w:numPr>
      </w:pPr>
      <w:r>
        <w:rPr/>
        <w:t xml:space="preserve">Justification de la répartition des efforts horizontaux</w:t>
      </w:r>
    </w:p>
    <w:p>
      <w:pPr>
        <w:pPr/>
        <w:numPr>
          <w:ilvl w:val="1"/>
          <w:numId w:val="22"/>
        </w:numPr>
      </w:pPr>
      <w:r>
        <w:rPr/>
        <w:t xml:space="preserve">Fonction diaphragme du plancher</w:t>
      </w:r>
    </w:p>
    <w:p>
      <w:pPr>
        <w:pPr/>
        <w:numPr>
          <w:ilvl w:val="1"/>
          <w:numId w:val="22"/>
        </w:numPr>
      </w:pPr>
      <w:r>
        <w:rPr/>
        <w:t xml:space="preserve">Fonction tirant-buton justifiée à 15 kN/ml (ou valeur issue des calculs si elle est supérieure) et fonctions diaphragme des planchers</w:t>
      </w:r>
    </w:p>
    <w:p>
      <w:pPr>
        <w:pPr/>
        <w:numPr>
          <w:ilvl w:val="0"/>
          <w:numId w:val="22"/>
        </w:numPr>
      </w:pPr>
      <w:r>
        <w:rPr/>
        <w:t xml:space="preserve">Justification de l’intégrité de la connexion sous action sismique dans le cas où celle-ci est mobilisée pour assurer la fonction diaphragme et/ou la fonction liaison avec les supports. Rapport d’essai cyclique des connexions selon la norme NF EN 12512.</w:t>
      </w:r>
    </w:p>
    <w:p>
      <w:pPr>
        <w:pPr/>
        <w:numPr>
          <w:ilvl w:val="0"/>
          <w:numId w:val="22"/>
        </w:numPr>
      </w:pPr>
      <w:r>
        <w:rPr/>
        <w:t xml:space="preserve">Lorsque les connecteurs peuvent être soumis à un cisaillement perpendiculaire au sens de portée des planchers mixtes sous l’effet de l’action sismique, la résistance des connecteurs doit être vérifiée sous l’effet des efforts concomitants.</w:t>
      </w:r>
    </w:p>
    <w:p>
      <w:pPr/>
      <w:r>
        <w:rPr>
          <w:rStyle w:val="font_h1"/>
        </w:rPr>
        <w:t xml:space="preserve">6. Incendie</w:t>
      </w:r>
    </w:p>
    <w:p>
      <w:pPr/>
      <w:r>
        <w:rPr/>
        <w:t xml:space="preserve">Validé par le Groupe Spécialisé le 24/01/2024</w:t>
      </w:r>
    </w:p>
    <w:p>
      <w:pPr/>
      <w:r>
        <w:rPr>
          <w:b/>
          <w:bCs/>
        </w:rPr>
        <w:t xml:space="preserve">Description</w:t>
      </w:r>
    </w:p>
    <w:p>
      <w:pPr/>
      <w:r>
        <w:rPr/>
        <w:t xml:space="preserve">Décrire les dispositions particulières pour la justification du plancher vis-à-vis du risque d'incendie.</w:t>
      </w:r>
    </w:p>
    <w:p>
      <w:pPr/>
      <w:r>
        <w:rPr>
          <w:b/>
          <w:bCs/>
        </w:rPr>
        <w:t xml:space="preserve">Justification</w:t>
      </w:r>
    </w:p>
    <w:p>
      <w:pPr>
        <w:pPr/>
        <w:numPr>
          <w:ilvl w:val="0"/>
          <w:numId w:val="23"/>
        </w:numPr>
      </w:pPr>
      <w:r>
        <w:rPr/>
        <w:t xml:space="preserve">Justification du classement de réaction au feu des planchers (classement conventionnel ou déterminé par essai selon la norme NF EN 13501-1). Le classement doit être en adéquation avec le domaine d’emploi revendiqué et ses exigences règlementaires associées ou des solutions de protection doivent être proposées.</w:t>
      </w:r>
    </w:p>
    <w:p>
      <w:pPr>
        <w:pPr/>
        <w:numPr>
          <w:ilvl w:val="0"/>
          <w:numId w:val="23"/>
        </w:numPr>
      </w:pPr>
      <w:r>
        <w:rPr/>
        <w:t xml:space="preserve">Justification du degré résistance au feu ; la résistance au feu peut être apportée par le plancher lui-même et/ou par ses éléments de protection :</w:t>
      </w:r>
      <w:r>
        <w:rPr/>
        <w:t xml:space="preserve">Décrire le système de protection. Fournir un procès-verbal de classement du système pour le degré de résistance requis pour la protection d’éléments structuraux en bois.</w:t>
      </w:r>
      <w:r>
        <w:rPr/>
        <w:t xml:space="preserve">Sans protection et avec protection (dans le cas où elle n’assure pas à elle seule le classement REI), apporter les justifications sous la forme d’un critère REI associé à un temps devant être indiqué par :</w:t>
      </w:r>
    </w:p>
    <w:p>
      <w:pPr>
        <w:pPr/>
        <w:numPr>
          <w:ilvl w:val="1"/>
          <w:numId w:val="23"/>
        </w:numPr>
      </w:pPr>
      <w:r>
        <w:rPr/>
        <w:t xml:space="preserve">Un procès-verbal de classement. Le classement retenu est uniquement recevable pour le type de plancher testé (géométrie, distribution des connecteurs, protection éventuelle, etc.).</w:t>
      </w:r>
    </w:p>
    <w:p>
      <w:pPr>
        <w:pPr/>
        <w:numPr>
          <w:ilvl w:val="1"/>
          <w:numId w:val="23"/>
        </w:numPr>
      </w:pPr>
      <w:r>
        <w:rPr/>
        <w:t xml:space="preserve">Une appréciation de laboratoire au feu établie ou non sur la base d’un PV et délivrée par un des laboratoires agréés au sens de l’Arrêté du 14 mars 2011 modifiant l'arrêté du 22 mars 2004 relatif à la résistance au feu des produits, éléments de construction et d'ouvrages. Cette appréciation doit être en adéquation avec la gamme de plancher dont l’utilisation est revendiquée dans l’Avis Technique et décrire le principe de prise en compte de la mobilisation de la connexion et la constitution des tables de compression visées.</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Justification de la performance thermique ; règles de calcul applicables, l’intégration de résultats de simulation thermique pourra donner lieu à leur vérification par un organisme indépendant.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Justification des performances acoustiques ; Adéquation entre exigences règlementaires et les possibilités du système par essais ; Possibilité d’ajouter des éléments rapportés (plafond suspendus…).</w:t>
      </w:r>
    </w:p>
    <w:p>
      <w:pPr/>
      <w:r>
        <w:rPr>
          <w:b/>
          <w:bCs/>
        </w:rPr>
        <w:t xml:space="preserve">Justification</w:t>
      </w:r>
    </w:p>
    <w:p>
      <w:pPr/>
      <w:r>
        <w:rPr/>
        <w:t xml:space="preserve">Schémas, rapports d'essais</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Justifications particulières pour l’utilisation en exposition agressive, sous charges roulantes (abrasion et usure).</w:t>
      </w:r>
    </w:p>
    <w:p>
      <w:pPr/>
      <w:r>
        <w:rPr>
          <w:rStyle w:val="font_h1"/>
        </w:rPr>
        <w:t xml:space="preserve">10. Dispositions constructives</w:t>
      </w:r>
    </w:p>
    <w:p>
      <w:pPr/>
      <w:r>
        <w:rPr/>
        <w:t xml:space="preserve">Validé par le Groupe Spécialisé le 08/10/2019</w:t>
      </w:r>
    </w:p>
    <w:p>
      <w:pPr/>
      <w:r>
        <w:rPr>
          <w:b/>
          <w:bCs/>
        </w:rPr>
        <w:t xml:space="preserve">Description</w:t>
      </w:r>
    </w:p>
    <w:p>
      <w:pPr>
        <w:pPr/>
        <w:numPr>
          <w:ilvl w:val="0"/>
          <w:numId w:val="24"/>
        </w:numPr>
      </w:pPr>
      <w:r>
        <w:rPr/>
        <w:t xml:space="preserve">Description des planchers ; gamme d’épaisseur de dalle béton, positionnement des connecteurs (positionnement par rapport au bord des solives, régularité/irrégularité d’espacement, dimensions, écarts de pose tolérés par rapport à la disposition prescrite), Insertion des connecteurs (dans les solives, dans la dalle, profondeurs d’insertion, perpendicularité…), positionnement des éléments de coffrage et d’isolation par rapport aux axes des connecteurs</w:t>
      </w:r>
    </w:p>
    <w:p>
      <w:pPr>
        <w:pPr/>
        <w:numPr>
          <w:ilvl w:val="0"/>
          <w:numId w:val="24"/>
        </w:numPr>
      </w:pPr>
      <w:r>
        <w:rPr/>
        <w:t xml:space="preserve">Description des modalités de réalisation d’ouvertures dans les planchers : Géométries des ouvertures, dimensions maximales, positionnement extrême par rapport au bord des planchers, ferraillage particulier, dispositions constructives en fonction des dimensions des ouvertures</w:t>
      </w:r>
    </w:p>
    <w:p>
      <w:pPr>
        <w:pPr/>
        <w:numPr>
          <w:ilvl w:val="0"/>
          <w:numId w:val="24"/>
        </w:numPr>
      </w:pPr>
      <w:r>
        <w:rPr/>
        <w:t xml:space="preserve">Description de la couche intermédiaire éventuelle entre bois et béton</w:t>
      </w:r>
    </w:p>
    <w:p>
      <w:pPr>
        <w:pPr/>
        <w:numPr>
          <w:ilvl w:val="0"/>
          <w:numId w:val="24"/>
        </w:numPr>
      </w:pPr>
      <w:r>
        <w:rPr/>
        <w:t xml:space="preserve">Description des jonctions entre planchers et murs ; appuis directs des solives sur les murs, appuis déportés (sabots, muralière..), ancrage de la dalle béton sur appuis (en cas de murs bois, béton ou maçonnés), arrêt de la dalle béton au droit du mur</w:t>
      </w:r>
    </w:p>
    <w:p>
      <w:pPr>
        <w:pPr/>
        <w:numPr>
          <w:ilvl w:val="0"/>
          <w:numId w:val="24"/>
        </w:numPr>
      </w:pPr>
      <w:r>
        <w:rPr/>
        <w:t xml:space="preserve">Description des interfaces avec les éléments de second œuvre</w:t>
      </w:r>
    </w:p>
    <w:p>
      <w:pPr>
        <w:pPr/>
        <w:numPr>
          <w:ilvl w:val="0"/>
          <w:numId w:val="24"/>
        </w:numPr>
      </w:pPr>
      <w:r>
        <w:rPr/>
        <w:t xml:space="preserve">Description des incorporations de gaines et fourreaux</w:t>
      </w:r>
    </w:p>
    <w:p>
      <w:pPr>
        <w:pPr/>
        <w:numPr>
          <w:ilvl w:val="0"/>
          <w:numId w:val="24"/>
        </w:numPr>
      </w:pPr>
      <w:r>
        <w:rPr/>
        <w:t xml:space="preserve">Description des dispositions constructives particulières dans le cas des planchers bas et planchers hauts (support d’étanchéité)</w:t>
      </w:r>
    </w:p>
    <w:p>
      <w:pPr>
        <w:pPr/>
        <w:numPr>
          <w:ilvl w:val="0"/>
          <w:numId w:val="24"/>
        </w:numPr>
      </w:pPr>
      <w:r>
        <w:rPr/>
        <w:t xml:space="preserve">Description du plancher permettant d’assurer un bon comportement hygrothermique de la paroi (positionnement des pare-vapeur…)</w:t>
      </w:r>
    </w:p>
    <w:p>
      <w:pPr>
        <w:pPr/>
        <w:numPr>
          <w:ilvl w:val="0"/>
          <w:numId w:val="24"/>
        </w:numPr>
      </w:pPr>
      <w:r>
        <w:rPr/>
        <w:t xml:space="preserve">Description des modalités de réalisation des appuis de continuité (compatibilité avec les revêtements de sol et d’étanchéité)</w:t>
      </w:r>
    </w:p>
    <w:p>
      <w:pPr>
        <w:pPr/>
        <w:numPr>
          <w:ilvl w:val="0"/>
          <w:numId w:val="24"/>
        </w:numPr>
      </w:pPr>
      <w:r>
        <w:rPr/>
        <w:t xml:space="preserve">Conception des acrotères pour le cas particulier des toitures terrasses (si visé)</w:t>
      </w:r>
    </w:p>
    <w:p>
      <w:pPr>
        <w:pPr/>
        <w:numPr>
          <w:ilvl w:val="0"/>
          <w:numId w:val="24"/>
        </w:numPr>
      </w:pPr>
      <w:r>
        <w:rPr/>
        <w:t xml:space="preserve">Principes de conceptions permettant l’atteinte des performances vis-à-vis des réglementations suivantes :</w:t>
      </w:r>
      <w:r>
        <w:rPr/>
        <w:t xml:space="preserve">- Sécurité incendie : résistance au feu des planchers et murs, réaction au feu, calfeutrement des baies et nez de planchers selon IT 249 ou autres dispositifs constructifs à justifier- Nouvelle Réglementation Acoustique- Réglementation thermique: pont thermique de liaison, résistance thermique, chaleur massique, lambda, masse volumique…</w:t>
      </w:r>
    </w:p>
    <w:p>
      <w:pPr/>
      <w:r>
        <w:rPr>
          <w:b/>
          <w:bCs/>
        </w:rPr>
        <w:t xml:space="preserve">Justification</w:t>
      </w:r>
    </w:p>
    <w:p>
      <w:pPr/>
      <w:r>
        <w:rPr/>
        <w:t xml:space="preserve">Schémas descriptifs cotés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Décrire la mise en oeuvre du procédé :</w:t>
      </w:r>
    </w:p>
    <w:p>
      <w:pPr>
        <w:pPr/>
        <w:numPr>
          <w:ilvl w:val="0"/>
          <w:numId w:val="25"/>
        </w:numPr>
      </w:pPr>
      <w:r>
        <w:rPr/>
        <w:t xml:space="preserve">Type de mise en œuvre envisagée (neuf, rénovation). En cas de rénovation : diagnostic préalable particulier de l’existant ; Traitement des points singuliers (acrotères, balcons, …)</w:t>
      </w:r>
    </w:p>
    <w:p>
      <w:pPr>
        <w:pPr/>
        <w:numPr>
          <w:ilvl w:val="0"/>
          <w:numId w:val="25"/>
        </w:numPr>
      </w:pPr>
      <w:r>
        <w:rPr/>
        <w:t xml:space="preserve">Description des tolérances de réception du gros-œuvre et conditions particulières de mise en œuvre des planchers</w:t>
      </w:r>
    </w:p>
    <w:p>
      <w:pPr>
        <w:pPr/>
        <w:numPr>
          <w:ilvl w:val="0"/>
          <w:numId w:val="25"/>
        </w:numPr>
      </w:pPr>
      <w:r>
        <w:rPr/>
        <w:t xml:space="preserve">Description des modes de protection des planchers en phase provisoire </w:t>
      </w:r>
    </w:p>
    <w:p>
      <w:pPr>
        <w:pPr/>
        <w:numPr>
          <w:ilvl w:val="0"/>
          <w:numId w:val="25"/>
        </w:numPr>
      </w:pPr>
      <w:r>
        <w:rPr/>
        <w:t xml:space="preserve">Description des conditions de stockage du procédé en usine, lors du transport, et sur chantier</w:t>
      </w:r>
    </w:p>
    <w:p>
      <w:pPr>
        <w:pPr/>
        <w:numPr>
          <w:ilvl w:val="0"/>
          <w:numId w:val="25"/>
        </w:numPr>
      </w:pPr>
      <w:r>
        <w:rPr/>
        <w:t xml:space="preserve">Description des moyens de levage et de manutention des éléments sur chantier</w:t>
      </w:r>
    </w:p>
    <w:p>
      <w:pPr>
        <w:pPr/>
        <w:numPr>
          <w:ilvl w:val="0"/>
          <w:numId w:val="25"/>
        </w:numPr>
      </w:pPr>
      <w:r>
        <w:rPr/>
        <w:t xml:space="preserve">Description des dispositifs d’étaiement en phase provisoire. Dépose des dispositifs d’étaiement</w:t>
      </w:r>
    </w:p>
    <w:p>
      <w:pPr>
        <w:pPr/>
        <w:numPr>
          <w:ilvl w:val="0"/>
          <w:numId w:val="25"/>
        </w:numPr>
      </w:pPr>
      <w:r>
        <w:rPr/>
        <w:t xml:space="preserve">Description du plan d’assurance qualité mise en œuvre (type, contrôles, fréquences, critères de contrôle, actions correctives)</w:t>
      </w:r>
    </w:p>
    <w:p>
      <w:pPr>
        <w:pPr/>
        <w:numPr>
          <w:ilvl w:val="0"/>
          <w:numId w:val="25"/>
        </w:numPr>
      </w:pPr>
      <w:r>
        <w:rPr/>
        <w:t xml:space="preserve">Description des éléments de sécurité à respecter en phase d’exécution ; description des conditions de fixation du platelage sur les solives, des équipements de protection, collective ou individuelle, pour la sécurité des personnes (garde-corps, échafaudages, crochets, ligne de vie, etc...)</w:t>
      </w:r>
    </w:p>
    <w:p>
      <w:pPr>
        <w:pPr/>
        <w:numPr>
          <w:ilvl w:val="0"/>
          <w:numId w:val="25"/>
        </w:numPr>
      </w:pPr>
      <w:r>
        <w:rPr/>
        <w:t xml:space="preserve">Conditions de mise en œuvre du béton (vibration…)</w:t>
      </w:r>
    </w:p>
    <w:p>
      <w:pPr>
        <w:pPr/>
        <w:numPr>
          <w:ilvl w:val="0"/>
          <w:numId w:val="25"/>
        </w:numPr>
      </w:pPr>
      <w:r>
        <w:rPr/>
        <w:t xml:space="preserve">Description des plans de pose types (calepinage, ferraillage, nomenclature, connexion)</w:t>
      </w:r>
    </w:p>
    <w:p>
      <w:pPr/>
      <w:r>
        <w:rPr>
          <w:b/>
          <w:bCs/>
        </w:rPr>
        <w:t xml:space="preserve">Justification</w:t>
      </w:r>
    </w:p>
    <w:p>
      <w:pPr/>
      <w:r>
        <w:rPr/>
        <w:t xml:space="preserve">Produire une notice de pose et un exemple de plan de pose.</w:t>
      </w:r>
    </w:p>
    <w:p>
      <w:pPr/>
      <w:r>
        <w:rPr>
          <w:rStyle w:val="font_h1"/>
        </w:rPr>
        <w:t xml:space="preserve">12. Assistance technique</w:t>
      </w:r>
    </w:p>
    <w:p>
      <w:pPr/>
      <w:r>
        <w:rPr/>
        <w:t xml:space="preserve">Validé par le Groupe Spécialisé le 08/10/2019</w:t>
      </w:r>
    </w:p>
    <w:p>
      <w:pPr/>
      <w:r>
        <w:rPr>
          <w:b/>
          <w:bCs/>
        </w:rPr>
        <w:t xml:space="preserve">Description</w:t>
      </w:r>
    </w:p>
    <w:p>
      <w:pPr/>
      <w:r>
        <w:rPr/>
        <w:t xml:space="preserve">Décrire l'assistance technique procurée par le titulaire et définir le rôle des intervenants :</w:t>
      </w:r>
    </w:p>
    <w:p>
      <w:pPr>
        <w:pPr/>
        <w:numPr>
          <w:ilvl w:val="0"/>
          <w:numId w:val="26"/>
        </w:numPr>
      </w:pPr>
      <w:r>
        <w:rPr/>
        <w:t xml:space="preserve">Exploitation commerciale, mode de distribution, nature et contenu de la formation des entreprises et applicateurs du  procédé</w:t>
      </w:r>
    </w:p>
    <w:p>
      <w:pPr>
        <w:pPr/>
        <w:numPr>
          <w:ilvl w:val="0"/>
          <w:numId w:val="26"/>
        </w:numPr>
      </w:pPr>
      <w:r>
        <w:rPr/>
        <w:t xml:space="preserve">Assistance technique à apporter pour la mise en œuvre</w:t>
      </w:r>
    </w:p>
    <w:p>
      <w:pPr>
        <w:pPr/>
        <w:numPr>
          <w:ilvl w:val="0"/>
          <w:numId w:val="26"/>
        </w:numPr>
      </w:pPr>
      <w:r>
        <w:rPr/>
        <w:t xml:space="preserve">Préciser si les dimensionnements sont réalisés au cas par cas et qui les réalise</w:t>
      </w:r>
    </w:p>
    <w:p>
      <w:pPr/>
      <w:r>
        <w:rPr>
          <w:rStyle w:val="font_h1"/>
        </w:rPr>
        <w:t xml:space="preserve">13. Utilisation en support d’étanchéité</w:t>
      </w:r>
    </w:p>
    <w:p>
      <w:pPr/>
      <w:r>
        <w:rPr/>
        <w:t xml:space="preserve">Validé par le Groupe Spécialisé le 08/10/2019</w:t>
      </w:r>
    </w:p>
    <w:p>
      <w:pPr/>
      <w:r>
        <w:rPr>
          <w:b/>
          <w:bCs/>
        </w:rPr>
        <w:t xml:space="preserve">Description</w:t>
      </w:r>
    </w:p>
    <w:p>
      <w:pPr/>
      <w:r>
        <w:rPr/>
        <w:t xml:space="preserve">Si l'utilisation du plancher en support d'étanchéité est visée, une consultation du GS n° 5.2 sera réalisée.</w:t>
      </w:r>
    </w:p>
    <w:p>
      <w:pPr/>
      <w:r>
        <w:rPr>
          <w:b/>
          <w:bCs/>
        </w:rPr>
        <w:t xml:space="preserve">Justification</w:t>
      </w:r>
    </w:p>
    <w:p>
      <w:pPr/>
      <w:r>
        <w:rPr/>
        <w:t xml:space="preserve">Schémas des solutions prévues pour l'utilisation en plancher support d'étanchéité.</w:t>
      </w:r>
    </w:p>
    <w:p>
      <w:pPr/>
      <w:r>
        <w:rPr>
          <w:rStyle w:val="font_h1"/>
        </w:rPr>
        <w:t xml:space="preserve">14.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15.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97A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0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A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90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C7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54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32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80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2F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45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A6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83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3B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F8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94D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5E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B4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7F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2026-06-21T23:45:11+02:00</dcterms:created>
  <dcterms:modified xsi:type="dcterms:W3CDTF">2026-06-21T23:45:11+02:00</dcterms:modified>
</cp:coreProperties>
</file>

<file path=docProps/custom.xml><?xml version="1.0" encoding="utf-8"?>
<Properties xmlns="http://schemas.openxmlformats.org/officeDocument/2006/custom-properties" xmlns:vt="http://schemas.openxmlformats.org/officeDocument/2006/docPropsVTypes"/>
</file>