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Flexible de raccordement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Désignation commerciale du produit / Nom et adresse du titulaire / Site(s) de production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Désignation commerciale du produit :</w:t>
      </w:r>
    </w:p>
    <w:p>
      <w:pPr>
        <w:pPr/>
        <w:numPr>
          <w:ilvl w:val="0"/>
          <w:numId w:val="9"/>
        </w:numPr>
      </w:pPr>
      <w:r>
        <w:rPr/>
        <w:t xml:space="preserve">Doit être différente du nom de la société.</w:t>
      </w:r>
    </w:p>
    <w:p>
      <w:pPr>
        <w:pPr/>
        <w:numPr>
          <w:ilvl w:val="0"/>
          <w:numId w:val="9"/>
        </w:numPr>
      </w:pPr>
      <w:r>
        <w:rPr/>
        <w:t xml:space="preserve">Ne doit pas porter à confusion par rapport à une autre gamme de produits sur le marché.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succincte du produit ou de la gamme de produits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domaine d'emploi :Distribution d'eau chaude et froide sanitaire (Attestation de Conformité Sanitaire requise), Circuits de chauffage, Circuits de refroidissement,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0"/>
        </w:numPr>
      </w:pPr>
      <w:r>
        <w:rPr/>
        <w:t xml:space="preserve">Rapport d'essais avec spécifications liées au domaine d'emploi revendiqué</w:t>
      </w:r>
    </w:p>
    <w:p>
      <w:pPr>
        <w:pPr/>
        <w:numPr>
          <w:ilvl w:val="0"/>
          <w:numId w:val="10"/>
        </w:numPr>
      </w:pPr>
      <w:r>
        <w:rPr/>
        <w:t xml:space="preserve">ACS si application sanitaire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1"/>
        </w:numPr>
      </w:pPr>
      <w:r>
        <w:rPr/>
        <w:t xml:space="preserve">Résultats d'essais conformes</w:t>
      </w:r>
    </w:p>
    <w:p>
      <w:pPr>
        <w:pPr/>
        <w:numPr>
          <w:ilvl w:val="0"/>
          <w:numId w:val="11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matière de chaque élément du produit (tuyau interne, raccords d'extrémités, douilles de sertissage, etc.)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Les éléments et matières décrites doivent être couverts par un rapport d'essais d'évaluation, ainsi qu'une Attestation de Conformité Sanitaire (si applicable)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3"/>
        </w:numPr>
      </w:pPr>
      <w:r>
        <w:rPr/>
        <w:t xml:space="preserve">Résultats d'essais conformes</w:t>
      </w:r>
    </w:p>
    <w:p>
      <w:pPr>
        <w:pPr/>
        <w:numPr>
          <w:ilvl w:val="0"/>
          <w:numId w:val="13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3. Définition du produit fini</w:t>
      </w:r>
    </w:p>
    <w:p>
      <w:pPr>
        <w:ind w:left="720" w:right="0"/>
      </w:pPr>
      <w:r>
        <w:rPr>
          <w:rStyle w:val="font_h2"/>
        </w:rPr>
        <w:t xml:space="preserve">3.1. Gamme dimensionnelle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Diamètres, épaisseurs et tolérances de tous les éléments du produit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Produit aux dimensions déclarées couvert par un rapport d'essais d'évaluation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5"/>
        </w:numPr>
      </w:pPr>
      <w:r>
        <w:rPr/>
        <w:t xml:space="preserve">Résultats d'essais conformes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type d'emballage et/ou des équipements, si le produit est livré pré-monté (OEM)</w:t>
      </w:r>
    </w:p>
    <w:p>
      <w:pPr>
        <w:ind w:left="720" w:right="0"/>
      </w:pPr>
      <w:r>
        <w:rPr>
          <w:rStyle w:val="font_h2"/>
        </w:rPr>
        <w:t xml:space="preserve">3.3. Principales caractéristiques physiques, physico-chimiques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Dureté du tuyau interne, valeur de résistance à la contrainte en traction du fil de tresse,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Rapport d'essais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7"/>
        </w:numPr>
      </w:pPr>
      <w:r>
        <w:rPr/>
        <w:t xml:space="preserve">Résultats d'essais conformes aux valeurs déclarées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1440" w:right="0"/>
      </w:pPr>
      <w:r>
        <w:rPr>
          <w:rStyle w:val="font_h3"/>
        </w:rPr>
        <w:t xml:space="preserve">3.4.1. Contrôles de réception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8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9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3.4.2. Contrôles en cours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0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1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3.4.3. Contrôles sur produits finis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2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3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3.4.4. Certification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Afin de s'assurer de la constance de qualité des produits, le produit doit faire l'objet d'une certification QB10 ou équivalente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4"/>
        </w:numPr>
      </w:pPr>
      <w:r>
        <w:rPr/>
        <w:t xml:space="preserve">Formulaires de demande de certification QB10 ou certification équivalente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marquage des produits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différentes étapes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toutes les prescriptions et dispositions particulières liées à la mise en oeuvre des produits</w:t>
      </w:r>
    </w:p>
    <w:p>
      <w:pPr/>
      <w:r>
        <w:rPr>
          <w:rStyle w:val="font_h1"/>
        </w:rPr>
        <w:t xml:space="preserve">5. Mode d'exploitation commerciale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mode d'exploitation commerciale des produits (réseaux de distributeurs, grossistes, OEM,...)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03F8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7C04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96146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523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ECD1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B550D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E6A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A24C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7C6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CA099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A21D7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1B0C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EC1E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F97E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624C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CC17F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2025-09-16T16:41:36+02:00</dcterms:created>
  <dcterms:modified xsi:type="dcterms:W3CDTF">2025-09-16T16:41:36+02:00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