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14.1 - Édité le 29/03/2024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14.1 « Equipements / Systèmes de canalisations pour le sanitaire et le génie climatique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Flexible de raccordement</w:t>
      </w:r>
    </w:p>
    <w:p>
      <w:pPr/>
      <w:r>
        <w:rPr>
          <w:rStyle w:val="font_h1"/>
        </w:rPr>
        <w:t xml:space="preserve">1. Généralités</w:t>
      </w:r>
    </w:p>
    <w:p>
      <w:pPr>
        <w:ind w:left="720" w:right="0"/>
      </w:pPr>
      <w:r>
        <w:rPr>
          <w:rStyle w:val="font_h2"/>
        </w:rPr>
        <w:t xml:space="preserve">1.1. Identité</w:t>
      </w:r>
    </w:p>
    <w:p>
      <w:pPr/>
      <w:r>
        <w:rPr/>
        <w:t xml:space="preserve">Validé par le Groupe Spécialisé le 01/01/2014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Désignation commerciale du produit / Nom et adresse du titulaire / Site(s) de production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Désignation commerciale du produit :</w:t>
      </w:r>
    </w:p>
    <w:p>
      <w:pPr>
        <w:pPr/>
        <w:numPr>
          <w:ilvl w:val="0"/>
          <w:numId w:val="9"/>
        </w:numPr>
      </w:pPr>
      <w:r>
        <w:rPr/>
        <w:t xml:space="preserve">Doit être différente du nom de la société.</w:t>
      </w:r>
    </w:p>
    <w:p>
      <w:pPr>
        <w:pPr/>
        <w:numPr>
          <w:ilvl w:val="0"/>
          <w:numId w:val="9"/>
        </w:numPr>
      </w:pPr>
      <w:r>
        <w:rPr/>
        <w:t xml:space="preserve">Ne doit pas porter à confusion par rapport à une autre gamme de produits sur le marché.</w:t>
      </w:r>
    </w:p>
    <w:p>
      <w:pPr>
        <w:ind w:left="720" w:right="0"/>
      </w:pPr>
      <w:r>
        <w:rPr>
          <w:rStyle w:val="font_h2"/>
        </w:rPr>
        <w:t xml:space="preserve">1.2. Définition</w:t>
      </w:r>
    </w:p>
    <w:p>
      <w:pPr/>
      <w:r>
        <w:rPr/>
        <w:t xml:space="preserve">Validé par le Groupe Spécialisé le 01/01/2014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succincte du produit ou de la gamme de produits</w:t>
      </w:r>
    </w:p>
    <w:p>
      <w:pPr>
        <w:ind w:left="720" w:right="0"/>
      </w:pPr>
      <w:r>
        <w:rPr>
          <w:rStyle w:val="font_h2"/>
        </w:rPr>
        <w:t xml:space="preserve">1.3. Domaine d'emploi</w:t>
      </w:r>
    </w:p>
    <w:p>
      <w:pPr/>
      <w:r>
        <w:rPr/>
        <w:t xml:space="preserve">Validé par le Groupe Spécialisé le 01/01/2014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du domaine d'emploi :Distribution d'eau chaude et froide sanitaire (Attestation de Conformité Sanitaire requise), Circuits de chauffage, Circuits de refroidissement, etc.</w:t>
      </w:r>
    </w:p>
    <w:p>
      <w:pPr/>
      <w:r>
        <w:rPr>
          <w:b/>
          <w:bCs/>
        </w:rPr>
        <w:t xml:space="preserve">Justification</w:t>
      </w:r>
    </w:p>
    <w:p>
      <w:pPr>
        <w:pPr/>
        <w:numPr>
          <w:ilvl w:val="0"/>
          <w:numId w:val="10"/>
        </w:numPr>
      </w:pPr>
      <w:r>
        <w:rPr/>
        <w:t xml:space="preserve">Rapport d'essais avec spécifications liées au domaine d'emploi revendiqué</w:t>
      </w:r>
    </w:p>
    <w:p>
      <w:pPr>
        <w:pPr/>
        <w:numPr>
          <w:ilvl w:val="0"/>
          <w:numId w:val="10"/>
        </w:numPr>
      </w:pPr>
      <w:r>
        <w:rPr/>
        <w:t xml:space="preserve">ACS si application sanitaire</w:t>
      </w:r>
    </w:p>
    <w:p>
      <w:pPr/>
      <w:r>
        <w:rPr>
          <w:b/>
          <w:bCs/>
        </w:rPr>
        <w:t xml:space="preserve">Critères d'évaluation</w:t>
      </w:r>
    </w:p>
    <w:p>
      <w:pPr>
        <w:pPr/>
        <w:numPr>
          <w:ilvl w:val="0"/>
          <w:numId w:val="11"/>
        </w:numPr>
      </w:pPr>
      <w:r>
        <w:rPr/>
        <w:t xml:space="preserve">Résultats d'essais conformes</w:t>
      </w:r>
    </w:p>
    <w:p>
      <w:pPr>
        <w:pPr/>
        <w:numPr>
          <w:ilvl w:val="0"/>
          <w:numId w:val="11"/>
        </w:numPr>
      </w:pPr>
      <w:r>
        <w:rPr/>
        <w:t xml:space="preserve">ACS en cours de validité (si applicable)</w:t>
      </w:r>
    </w:p>
    <w:p>
      <w:pPr/>
      <w:r>
        <w:rPr>
          <w:rStyle w:val="font_h1"/>
        </w:rPr>
        <w:t xml:space="preserve">2. Définition des matériaux constitutifs</w:t>
      </w:r>
    </w:p>
    <w:p>
      <w:pPr/>
      <w:r>
        <w:rPr/>
        <w:t xml:space="preserve">Validé par le Groupe Spécialisé le 01/01/2014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de la matière de chaque élément du produit (tuyau interne, raccords d'extrémités, douilles de sertissage, etc.)</w:t>
      </w:r>
    </w:p>
    <w:p>
      <w:pPr/>
      <w:r>
        <w:rPr>
          <w:b/>
          <w:bCs/>
        </w:rPr>
        <w:t xml:space="preserve">Justification</w:t>
      </w:r>
    </w:p>
    <w:p>
      <w:pPr>
        <w:pPr/>
        <w:numPr>
          <w:ilvl w:val="0"/>
          <w:numId w:val="12"/>
        </w:numPr>
      </w:pPr>
      <w:r>
        <w:rPr/>
        <w:t xml:space="preserve">Les éléments et matières décrites doivent être couverts par un rapport d'essais d'évaluation, ainsi qu'une Attestation de Conformité Sanitaire (si applicable)</w:t>
      </w:r>
    </w:p>
    <w:p>
      <w:pPr/>
      <w:r>
        <w:rPr>
          <w:b/>
          <w:bCs/>
        </w:rPr>
        <w:t xml:space="preserve">Critères d'évaluation</w:t>
      </w:r>
    </w:p>
    <w:p>
      <w:pPr>
        <w:pPr/>
        <w:numPr>
          <w:ilvl w:val="0"/>
          <w:numId w:val="13"/>
        </w:numPr>
      </w:pPr>
      <w:r>
        <w:rPr/>
        <w:t xml:space="preserve">Résultats d'essais conformes</w:t>
      </w:r>
    </w:p>
    <w:p>
      <w:pPr>
        <w:pPr/>
        <w:numPr>
          <w:ilvl w:val="0"/>
          <w:numId w:val="13"/>
        </w:numPr>
      </w:pPr>
      <w:r>
        <w:rPr/>
        <w:t xml:space="preserve">ACS en cours de validité (si applicable)</w:t>
      </w:r>
    </w:p>
    <w:p>
      <w:pPr/>
      <w:r>
        <w:rPr>
          <w:rStyle w:val="font_h1"/>
        </w:rPr>
        <w:t xml:space="preserve">3. Définition du produit fini</w:t>
      </w:r>
    </w:p>
    <w:p>
      <w:pPr>
        <w:ind w:left="720" w:right="0"/>
      </w:pPr>
      <w:r>
        <w:rPr>
          <w:rStyle w:val="font_h2"/>
        </w:rPr>
        <w:t xml:space="preserve">3.1. Gamme dimensionnelle</w:t>
      </w:r>
    </w:p>
    <w:p>
      <w:pPr/>
      <w:r>
        <w:rPr/>
        <w:t xml:space="preserve">Validé par le Groupe Spécialisé le 01/01/2014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Diamètres, épaisseurs et tolérances de tous les éléments du produit</w:t>
      </w:r>
    </w:p>
    <w:p>
      <w:pPr/>
      <w:r>
        <w:rPr>
          <w:b/>
          <w:bCs/>
        </w:rPr>
        <w:t xml:space="preserve">Justification</w:t>
      </w:r>
    </w:p>
    <w:p>
      <w:pPr>
        <w:pPr/>
        <w:numPr>
          <w:ilvl w:val="0"/>
          <w:numId w:val="14"/>
        </w:numPr>
      </w:pPr>
      <w:r>
        <w:rPr/>
        <w:t xml:space="preserve">Produit aux dimensions déclarées couvert par un rapport d'essais d'évaluation</w:t>
      </w:r>
    </w:p>
    <w:p>
      <w:pPr/>
      <w:r>
        <w:rPr>
          <w:b/>
          <w:bCs/>
        </w:rPr>
        <w:t xml:space="preserve">Critères d'évaluation</w:t>
      </w:r>
    </w:p>
    <w:p>
      <w:pPr>
        <w:pPr/>
        <w:numPr>
          <w:ilvl w:val="0"/>
          <w:numId w:val="15"/>
        </w:numPr>
      </w:pPr>
      <w:r>
        <w:rPr/>
        <w:t xml:space="preserve">Résultats d'essais conformes</w:t>
      </w:r>
    </w:p>
    <w:p>
      <w:pPr>
        <w:ind w:left="720" w:right="0"/>
      </w:pPr>
      <w:r>
        <w:rPr>
          <w:rStyle w:val="font_h2"/>
        </w:rPr>
        <w:t xml:space="preserve">3.2. Etat de livraison</w:t>
      </w:r>
    </w:p>
    <w:p>
      <w:pPr/>
      <w:r>
        <w:rPr/>
        <w:t xml:space="preserve">Validé par le Groupe Spécialisé le 01/01/2014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du type d'emballage et/ou des équipements, si le produit est livré pré-monté (OEM)</w:t>
      </w:r>
    </w:p>
    <w:p>
      <w:pPr>
        <w:ind w:left="720" w:right="0"/>
      </w:pPr>
      <w:r>
        <w:rPr>
          <w:rStyle w:val="font_h2"/>
        </w:rPr>
        <w:t xml:space="preserve">3.3. Principales caractéristiques physiques, physico-chimiques et mécaniques du produit</w:t>
      </w:r>
    </w:p>
    <w:p>
      <w:pPr/>
      <w:r>
        <w:rPr/>
        <w:t xml:space="preserve">Validé par le Groupe Spécialisé le 01/01/2014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Dureté du tuyau interne, valeur de résistance à la contrainte en traction du fil de tresse, etc.</w:t>
      </w:r>
    </w:p>
    <w:p>
      <w:pPr/>
      <w:r>
        <w:rPr>
          <w:b/>
          <w:bCs/>
        </w:rPr>
        <w:t xml:space="preserve">Justification</w:t>
      </w:r>
    </w:p>
    <w:p>
      <w:pPr>
        <w:pPr/>
        <w:numPr>
          <w:ilvl w:val="0"/>
          <w:numId w:val="16"/>
        </w:numPr>
      </w:pPr>
      <w:r>
        <w:rPr/>
        <w:t xml:space="preserve">Rapport d'essais</w:t>
      </w:r>
    </w:p>
    <w:p>
      <w:pPr/>
      <w:r>
        <w:rPr>
          <w:b/>
          <w:bCs/>
        </w:rPr>
        <w:t xml:space="preserve">Critères d'évaluation</w:t>
      </w:r>
    </w:p>
    <w:p>
      <w:pPr>
        <w:pPr/>
        <w:numPr>
          <w:ilvl w:val="0"/>
          <w:numId w:val="17"/>
        </w:numPr>
      </w:pPr>
      <w:r>
        <w:rPr/>
        <w:t xml:space="preserve">Résultats d'essais conformes aux valeurs déclarées</w:t>
      </w:r>
    </w:p>
    <w:p>
      <w:pPr>
        <w:ind w:left="720" w:right="0"/>
      </w:pPr>
      <w:r>
        <w:rPr>
          <w:rStyle w:val="font_h2"/>
        </w:rPr>
        <w:t xml:space="preserve">3.4. Contrôles effectués aux différents stades de la fabrication</w:t>
      </w:r>
    </w:p>
    <w:p>
      <w:pPr>
        <w:ind w:left="1440" w:right="0"/>
      </w:pPr>
      <w:r>
        <w:rPr>
          <w:rStyle w:val="font_h3"/>
        </w:rPr>
        <w:t xml:space="preserve">3.4.1. Contrôles de réception</w:t>
      </w:r>
    </w:p>
    <w:p>
      <w:pPr/>
      <w:r>
        <w:rPr/>
        <w:t xml:space="preserve">Validé par le Groupe Spécialisé le 01/01/2014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des contrôles effectués et leur fréquence</w:t>
      </w:r>
    </w:p>
    <w:p>
      <w:pPr/>
      <w:r>
        <w:rPr>
          <w:b/>
          <w:bCs/>
        </w:rPr>
        <w:t xml:space="preserve">Justification</w:t>
      </w:r>
    </w:p>
    <w:p>
      <w:pPr>
        <w:pPr/>
        <w:numPr>
          <w:ilvl w:val="0"/>
          <w:numId w:val="18"/>
        </w:numPr>
      </w:pPr>
      <w:r>
        <w:rPr/>
        <w:t xml:space="preserve">Rapport d'audit d'instruction</w:t>
      </w:r>
    </w:p>
    <w:p>
      <w:pPr/>
      <w:r>
        <w:rPr>
          <w:b/>
          <w:bCs/>
        </w:rPr>
        <w:t xml:space="preserve">Critères d'évaluation</w:t>
      </w:r>
    </w:p>
    <w:p>
      <w:pPr>
        <w:pPr/>
        <w:numPr>
          <w:ilvl w:val="0"/>
          <w:numId w:val="19"/>
        </w:numPr>
      </w:pPr>
      <w:r>
        <w:rPr/>
        <w:t xml:space="preserve">Contrôles déclarés vérifiés lors de l'audit d'instruction (voir rapport)</w:t>
      </w:r>
    </w:p>
    <w:p>
      <w:pPr>
        <w:ind w:left="1440" w:right="0"/>
      </w:pPr>
      <w:r>
        <w:rPr>
          <w:rStyle w:val="font_h3"/>
        </w:rPr>
        <w:t xml:space="preserve">3.4.2. Contrôles en cours de fabrication</w:t>
      </w:r>
    </w:p>
    <w:p>
      <w:pPr/>
      <w:r>
        <w:rPr/>
        <w:t xml:space="preserve">Validé par le Groupe Spécialisé le 01/01/2014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des contrôles effectués et leur fréquence</w:t>
      </w:r>
    </w:p>
    <w:p>
      <w:pPr/>
      <w:r>
        <w:rPr>
          <w:b/>
          <w:bCs/>
        </w:rPr>
        <w:t xml:space="preserve">Justification</w:t>
      </w:r>
    </w:p>
    <w:p>
      <w:pPr>
        <w:pPr/>
        <w:numPr>
          <w:ilvl w:val="0"/>
          <w:numId w:val="20"/>
        </w:numPr>
      </w:pPr>
      <w:r>
        <w:rPr/>
        <w:t xml:space="preserve">Rapport d'audit d'instruction</w:t>
      </w:r>
    </w:p>
    <w:p>
      <w:pPr/>
      <w:r>
        <w:rPr>
          <w:b/>
          <w:bCs/>
        </w:rPr>
        <w:t xml:space="preserve">Critères d'évaluation</w:t>
      </w:r>
    </w:p>
    <w:p>
      <w:pPr>
        <w:pPr/>
        <w:numPr>
          <w:ilvl w:val="0"/>
          <w:numId w:val="21"/>
        </w:numPr>
      </w:pPr>
      <w:r>
        <w:rPr/>
        <w:t xml:space="preserve">Contrôles déclarés vérifiés lors de l'audit d'instruction (voir rapport)</w:t>
      </w:r>
    </w:p>
    <w:p>
      <w:pPr>
        <w:ind w:left="1440" w:right="0"/>
      </w:pPr>
      <w:r>
        <w:rPr>
          <w:rStyle w:val="font_h3"/>
        </w:rPr>
        <w:t xml:space="preserve">3.4.3. Contrôles sur produits finis</w:t>
      </w:r>
    </w:p>
    <w:p>
      <w:pPr/>
      <w:r>
        <w:rPr/>
        <w:t xml:space="preserve">Validé par le Groupe Spécialisé le 01/01/2014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des contrôles effectués et leur fréquence</w:t>
      </w:r>
    </w:p>
    <w:p>
      <w:pPr/>
      <w:r>
        <w:rPr>
          <w:b/>
          <w:bCs/>
        </w:rPr>
        <w:t xml:space="preserve">Justification</w:t>
      </w:r>
    </w:p>
    <w:p>
      <w:pPr>
        <w:pPr/>
        <w:numPr>
          <w:ilvl w:val="0"/>
          <w:numId w:val="22"/>
        </w:numPr>
      </w:pPr>
      <w:r>
        <w:rPr/>
        <w:t xml:space="preserve">Rapport d'audit d'instruction</w:t>
      </w:r>
    </w:p>
    <w:p>
      <w:pPr/>
      <w:r>
        <w:rPr>
          <w:b/>
          <w:bCs/>
        </w:rPr>
        <w:t xml:space="preserve">Critères d'évaluation</w:t>
      </w:r>
    </w:p>
    <w:p>
      <w:pPr>
        <w:pPr/>
        <w:numPr>
          <w:ilvl w:val="0"/>
          <w:numId w:val="23"/>
        </w:numPr>
      </w:pPr>
      <w:r>
        <w:rPr/>
        <w:t xml:space="preserve">Contrôles déclarés vérifiés lors de l'audit d'instruction (voir rapport)</w:t>
      </w:r>
    </w:p>
    <w:p>
      <w:pPr>
        <w:ind w:left="1440" w:right="0"/>
      </w:pPr>
      <w:r>
        <w:rPr>
          <w:rStyle w:val="font_h3"/>
        </w:rPr>
        <w:t xml:space="preserve">3.4.4. Certification</w:t>
      </w:r>
    </w:p>
    <w:p>
      <w:pPr/>
      <w:r>
        <w:rPr/>
        <w:t xml:space="preserve">Validé par le Groupe Spécialisé le 01/01/2014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Afin de s'assurer de la constance de qualité des produits, le produit doit faire l'objet d'une certification QB10 ou équivalente</w:t>
      </w:r>
    </w:p>
    <w:p>
      <w:pPr/>
      <w:r>
        <w:rPr>
          <w:b/>
          <w:bCs/>
        </w:rPr>
        <w:t xml:space="preserve">Justification</w:t>
      </w:r>
    </w:p>
    <w:p>
      <w:pPr>
        <w:pPr/>
        <w:numPr>
          <w:ilvl w:val="0"/>
          <w:numId w:val="24"/>
        </w:numPr>
      </w:pPr>
      <w:r>
        <w:rPr/>
        <w:t xml:space="preserve">Formulaires de demande de certification QB10 ou certification équivalente</w:t>
      </w:r>
    </w:p>
    <w:p>
      <w:pPr>
        <w:ind w:left="720" w:right="0"/>
      </w:pPr>
      <w:r>
        <w:rPr>
          <w:rStyle w:val="font_h2"/>
        </w:rPr>
        <w:t xml:space="preserve">3.5. Marquage</w:t>
      </w:r>
    </w:p>
    <w:p>
      <w:pPr/>
      <w:r>
        <w:rPr/>
        <w:t xml:space="preserve">Validé par le Groupe Spécialisé le 01/01/2014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du marquage des produits</w:t>
      </w:r>
    </w:p>
    <w:p>
      <w:pPr>
        <w:ind w:left="720" w:right="0"/>
      </w:pPr>
      <w:r>
        <w:rPr>
          <w:rStyle w:val="font_h2"/>
        </w:rPr>
        <w:t xml:space="preserve">3.6. Description du processus de fabrication</w:t>
      </w:r>
    </w:p>
    <w:p>
      <w:pPr/>
      <w:r>
        <w:rPr/>
        <w:t xml:space="preserve">Validé par le Groupe Spécialisé le 01/01/2014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des différentes étapes du processus de fabrication</w:t>
      </w:r>
    </w:p>
    <w:p>
      <w:pPr/>
      <w:r>
        <w:rPr>
          <w:rStyle w:val="font_h1"/>
        </w:rPr>
        <w:t xml:space="preserve">4. Description de la mise en oeuvre</w:t>
      </w:r>
    </w:p>
    <w:p>
      <w:pPr/>
      <w:r>
        <w:rPr/>
        <w:t xml:space="preserve">Validé par le Groupe Spécialisé le 01/01/2014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de toutes les prescriptions et dispositions particulières liées à la mise en oeuvre des produits</w:t>
      </w:r>
    </w:p>
    <w:p>
      <w:pPr/>
      <w:r>
        <w:rPr>
          <w:rStyle w:val="font_h1"/>
        </w:rPr>
        <w:t xml:space="preserve">5. Mode d'exploitation commerciale du produit</w:t>
      </w:r>
    </w:p>
    <w:p>
      <w:pPr/>
      <w:r>
        <w:rPr/>
        <w:t xml:space="preserve">Validé par le Groupe Spécialisé le 01/01/2014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du mode d'exploitation commerciale des produits (réseaux de distributeurs, grossistes, OEM,...)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10CA5D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FE3B8E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F61F55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DCCF86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BCF8B7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A05883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AEE394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C3EF2D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A1F73D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04593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E36F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468D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FDBDE4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78B1F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2B7645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D59906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2024-03-29T10:56:06+01:00</dcterms:created>
  <dcterms:modified xsi:type="dcterms:W3CDTF">2024-03-29T10:56:06+01:00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