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14/02/2026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Mur de façade de types panneaux sandwich</w:t>
      </w:r>
    </w:p>
    <w:p>
      <w:pPr/>
      <w:r>
        <w:rPr>
          <w:rStyle w:val="font_h1"/>
        </w:rPr>
        <w:t xml:space="preserve">1. Principe et domaine d'emploi</w:t>
      </w:r>
    </w:p>
    <w:p>
      <w:pPr>
        <w:ind w:left="720" w:right="0"/>
      </w:pPr>
      <w:r>
        <w:rPr>
          <w:rStyle w:val="font_h2"/>
        </w:rPr>
        <w:t xml:space="preserve">1.1. Principe</w:t>
      </w:r>
    </w:p>
    <w:p>
      <w:pPr/>
      <w:r>
        <w:rPr/>
        <w:t xml:space="preserve">Validé par le Groupe Spécialisé le 14/02/2019</w:t>
      </w:r>
    </w:p>
    <w:p>
      <w:pPr/>
      <w:r>
        <w:rPr>
          <w:b/>
          <w:bCs/>
        </w:rPr>
        <w:t xml:space="preserve">Description</w:t>
      </w:r>
    </w:p>
    <w:p>
      <w:pPr/>
      <w:r>
        <w:rPr/>
        <w:t xml:space="preserve">Préciser le principe de réalisation des murs : Description du procédé de mur de façade de type panneau sandwich.</w:t>
      </w:r>
    </w:p>
    <w:p>
      <w:pPr/>
      <w:r>
        <w:rPr/>
        <w:t xml:space="preserve">Préciser la fonction structurale du panneau : porteur ou non porteur.</w:t>
      </w:r>
    </w:p>
    <w:p>
      <w:pPr/>
      <w:r>
        <w:rPr/>
        <w:t xml:space="preserve">Détailler les revêtements intérieurs et extérieurs applicables et les finitions des parements</w:t>
      </w:r>
    </w:p>
    <w:p>
      <w:pPr/>
      <w:r>
        <w:rPr/>
        <w:t xml:space="preserve">Détailler le principe d’étanchéité à l’eau et à l’air : localisation du plan d’étanchéité, principe de traitement des joints verticaux et des joints horizontaux.</w:t>
      </w:r>
    </w:p>
    <w:p>
      <w:pPr/>
      <w:r>
        <w:rPr>
          <w:b/>
          <w:bCs/>
        </w:rPr>
        <w:t xml:space="preserve">Illustration</w:t>
      </w:r>
    </w:p>
    <w:p>
      <w:pPr/>
      <w:r>
        <w:rPr/>
        <w:t xml:space="preserve">-Caractéristiques géométriques des panneaux porteurs et des panneaux non porteurs : vue en élévation et coupes types  pour les dimensions maximales (panneaux aveugles et panneaux avec ouvertures) ;</w:t>
      </w:r>
    </w:p>
    <w:p>
      <w:pPr/>
      <w:r>
        <w:rPr/>
        <w:t xml:space="preserve">-Principe de ferraillage des panneaux porteurs et des panneaux non porteurs  pour les dimensions maximales(panneaux aveugles et panneaux avec ouvertures)</w:t>
      </w:r>
    </w:p>
    <w:p>
      <w:pPr>
        <w:ind w:left="720" w:right="0"/>
      </w:pPr>
      <w:r>
        <w:rPr>
          <w:rStyle w:val="font_h2"/>
        </w:rPr>
        <w:t xml:space="preserve">1.2. Domaine d'emploi</w:t>
      </w:r>
    </w:p>
    <w:p>
      <w:pPr/>
      <w:r>
        <w:rPr/>
        <w:t xml:space="preserve">Validé par le Groupe Spécialisé le 28/11/2024</w:t>
      </w:r>
    </w:p>
    <w:p>
      <w:pPr/>
      <w:r>
        <w:rPr>
          <w:b/>
          <w:bCs/>
        </w:rPr>
        <w:t xml:space="preserve">Description</w:t>
      </w:r>
    </w:p>
    <w:p>
      <w:pPr/>
      <w:r>
        <w:rPr/>
        <w:t xml:space="preserve">Préciser le domaine d’emploi visé : type d’ouvrage et destination (bâtiments d'habitation y compris les IMH, bureaux, commerces, etc.), zones de sismicité, conditions d'exposition, superstructure et infrastructure. </w:t>
      </w:r>
    </w:p>
    <w:p>
      <w:pPr/>
      <w:r>
        <w:rPr/>
        <w:t xml:space="preserve">Préciser les types de planchers visés en association avec les panneaux sandwichs porteurs</w:t>
      </w:r>
    </w:p>
    <w:p>
      <w:pPr/>
      <w:r>
        <w:rPr/>
        <w:t xml:space="preserve">Préciser les types de structures visées en association avec les panneaux sandwichs non porteurs (ossature béton, ossature métallique, ossature en bois, …).</w:t>
      </w:r>
    </w:p>
    <w:p>
      <w:pPr/>
      <w:r>
        <w:rPr/>
        <w:t xml:space="preserve">Jurisprudence du GS3.2 : L’aptitude au levage devra être visé par l’Avis Technique/DTA.</w:t>
      </w:r>
    </w:p>
    <w:p>
      <w:pPr/>
      <w:r>
        <w:rPr>
          <w:b/>
          <w:bCs/>
        </w:rPr>
        <w:t xml:space="preserve">Justification</w:t>
      </w:r>
    </w:p>
    <w:p>
      <w:pPr/>
      <w:r>
        <w:rPr/>
        <w:t xml:space="preserve">Concernant l'aptitude au levage, les valeurs de charge de CMU devront être justifiées expérimentalement conformément à la jurisprudence du GS3.2 : réalisation d'essais conformément au protocole de caractérisation d'inserts de levage établi et validé par le GS3.2. Dans le cas de panneaux sandwich à paroi extérieure librement dilatable, les essais pourront être réalisés sans tenir compte de la présence de la paroi extérieure attachée à la paroi intérieure. Par ailleurs, l'angle de déviation hors-plan, dû à la présence de la paroi extérieure lors des opérations de levage, peut être négligé.</w:t>
      </w:r>
    </w:p>
    <w:p>
      <w:pPr>
        <w:ind w:left="720" w:right="0"/>
      </w:pPr>
      <w:r>
        <w:rPr>
          <w:rStyle w:val="font_h2"/>
        </w:rPr>
        <w:t xml:space="preserve">1.3. Principe d'identification des panneaux</w:t>
      </w:r>
    </w:p>
    <w:p>
      <w:pPr/>
      <w:r>
        <w:rPr/>
        <w:t xml:space="preserve">Validé par le Groupe Spécialisé le 14/02/2019</w:t>
      </w:r>
    </w:p>
    <w:p>
      <w:pPr/>
      <w:r>
        <w:rPr>
          <w:b/>
          <w:bCs/>
        </w:rPr>
        <w:t xml:space="preserve">Description</w:t>
      </w:r>
    </w:p>
    <w:p>
      <w:pPr/>
      <w:r>
        <w:rPr/>
        <w:t xml:space="preserve">Préciser le principe d’identification des panneaux (étiquetage, etc.).</w:t>
      </w:r>
    </w:p>
    <w:p>
      <w:pPr/>
      <w:r>
        <w:rPr>
          <w:b/>
          <w:bCs/>
        </w:rPr>
        <w:t xml:space="preserve">Justification</w:t>
      </w:r>
    </w:p>
    <w:p>
      <w:pPr/>
      <w:r>
        <w:rPr/>
        <w:t xml:space="preserve">Exemple d'étiquette pour l'identification du produit.</w:t>
      </w:r>
    </w:p>
    <w:p>
      <w:pPr/>
      <w:r>
        <w:rPr>
          <w:rStyle w:val="font_h1"/>
        </w:rPr>
        <w:t xml:space="preserve">2. Matériaux</w:t>
      </w:r>
    </w:p>
    <w:p>
      <w:pPr>
        <w:ind w:left="720" w:right="0"/>
      </w:pPr>
      <w:r>
        <w:rPr>
          <w:rStyle w:val="font_h2"/>
        </w:rPr>
        <w:t xml:space="preserve">2.1. Béton</w:t>
      </w:r>
    </w:p>
    <w:p>
      <w:pPr>
        <w:ind w:left="1440" w:right="0"/>
      </w:pPr>
      <w:r>
        <w:rPr>
          <w:rStyle w:val="font_h3"/>
        </w:rPr>
        <w:t xml:space="preserve">2.1.1. Béton des parois préfabriqués</w:t>
      </w:r>
    </w:p>
    <w:p>
      <w:pPr>
        <w:ind w:left="2160" w:right="0"/>
      </w:pPr>
      <w:r>
        <w:rPr>
          <w:rStyle w:val="font_h3"/>
        </w:rPr>
        <w:t xml:space="preserve">2.1.1.1. Paroi intérieure</w:t>
      </w:r>
    </w:p>
    <w:p>
      <w:pPr/>
      <w:r>
        <w:rPr/>
        <w:t xml:space="preserve">Validé par le Groupe Spécialisé le 21/06/2023</w:t>
      </w:r>
    </w:p>
    <w:p>
      <w:pPr/>
      <w:r>
        <w:rPr>
          <w:b/>
          <w:bCs/>
        </w:rPr>
        <w:t xml:space="preserve">Description</w:t>
      </w:r>
    </w:p>
    <w:p>
      <w:pPr/>
      <w:r>
        <w:rPr/>
        <w:t xml:space="preserve">Description du béton utilisé pour la réalisation des parois préfabriquées (paroi intérieure). Indiquer la conformité ou non avec la NF EN 206+A2/CN. </w:t>
      </w:r>
    </w:p>
    <w:p>
      <w:pPr/>
      <w:r>
        <w:rPr/>
        <w:t xml:space="preserve">Indiquer la classe minimale de résistance du béton (paroi intérieure ).</w:t>
      </w:r>
    </w:p>
    <w:p>
      <w:pPr/>
      <w:r>
        <w:rPr/>
        <w:t xml:space="preserve">Préciser également la résistance minimale à atteindre du béton à 28 jours et à la livraison du panneau (paroi intérieure). Si le levage est visé, indiquer la résistance minimale à atteindre au premier levage.</w:t>
      </w:r>
    </w:p>
    <w:p>
      <w:pPr>
        <w:ind w:left="2160" w:right="0"/>
      </w:pPr>
      <w:r>
        <w:rPr>
          <w:rStyle w:val="font_h3"/>
        </w:rPr>
        <w:t xml:space="preserve">2.1.1.2. Paroi extérieure</w:t>
      </w:r>
    </w:p>
    <w:p>
      <w:pPr/>
      <w:r>
        <w:rPr/>
        <w:t xml:space="preserve">Validé par le Groupe Spécialisé le 21/06/2023</w:t>
      </w:r>
    </w:p>
    <w:p>
      <w:pPr/>
      <w:r>
        <w:rPr>
          <w:b/>
          <w:bCs/>
        </w:rPr>
        <w:t xml:space="preserve">Description</w:t>
      </w:r>
    </w:p>
    <w:p>
      <w:pPr/>
      <w:r>
        <w:rPr/>
        <w:t xml:space="preserve">Description du béton utilisé pour la réalisation des parois préfabriquées (paroi extérieure). Indiquer la conformité ou non avec la NF EN 206+A2/CN. </w:t>
      </w:r>
    </w:p>
    <w:p>
      <w:pPr/>
      <w:r>
        <w:rPr/>
        <w:t xml:space="preserve">Indiquer la classe minimale de résistance du béton (paroi extérieure). </w:t>
      </w:r>
    </w:p>
    <w:p>
      <w:pPr/>
      <w:r>
        <w:rPr/>
        <w:t xml:space="preserve">Préciser également la résistance minimale à atteindre du béton à 28 jours et à la livraison du panneau (si levage visé et ancrage dans la paroi extérieure).</w:t>
      </w:r>
    </w:p>
    <w:p>
      <w:pPr>
        <w:ind w:left="1440" w:right="0"/>
      </w:pPr>
      <w:r>
        <w:rPr>
          <w:rStyle w:val="font_h3"/>
        </w:rPr>
        <w:t xml:space="preserve">2.1.2. Béton coulé en oeuvre</w:t>
      </w:r>
    </w:p>
    <w:p>
      <w:pPr/>
      <w:r>
        <w:rPr/>
        <w:t xml:space="preserve">Validé par le Groupe Spécialisé le 14/02/2019</w:t>
      </w:r>
    </w:p>
    <w:p>
      <w:pPr/>
      <w:r>
        <w:rPr>
          <w:b/>
          <w:bCs/>
        </w:rPr>
        <w:t xml:space="preserve">Description</w:t>
      </w:r>
    </w:p>
    <w:p>
      <w:pPr/>
      <w:r>
        <w:rPr/>
        <w:t xml:space="preserve">Description du béton utilisé pour la réalisation du clavetage des panneaux : classe de résistance, granulométrie, consistance.</w:t>
      </w:r>
    </w:p>
    <w:p>
      <w:pPr>
        <w:ind w:left="720" w:right="0"/>
      </w:pPr>
      <w:r>
        <w:rPr>
          <w:rStyle w:val="font_h2"/>
        </w:rPr>
        <w:t xml:space="preserve">2.2. Aciers d'armature</w:t>
      </w:r>
    </w:p>
    <w:p>
      <w:pPr/>
      <w:r>
        <w:rPr/>
        <w:t xml:space="preserve">Validé par le Groupe Spécialisé le 14/02/2019</w:t>
      </w:r>
    </w:p>
    <w:p>
      <w:pPr/>
      <w:r>
        <w:rPr>
          <w:b/>
          <w:bCs/>
        </w:rPr>
        <w:t xml:space="preserve">Description</w:t>
      </w:r>
    </w:p>
    <w:p>
      <w:pPr/>
      <w:r>
        <w:rPr/>
        <w:t xml:space="preserve">Description des armatures utilisées pour le ferraillage des parois (nuance et classe de ductilité, conformité avec la normalisation française, etc.). </w:t>
      </w:r>
    </w:p>
    <w:p>
      <w:pPr/>
      <w:r>
        <w:rPr>
          <w:b/>
          <w:bCs/>
        </w:rPr>
        <w:t xml:space="preserve">Jurisprudence du GS3.2</w:t>
      </w:r>
      <w:r>
        <w:rPr/>
        <w:t xml:space="preserve"> </w:t>
      </w:r>
    </w:p>
    <w:p>
      <w:pPr/>
      <w:r>
        <w:rPr/>
        <w:t xml:space="preserve">Les aciers pour armatures doivent répondre aux exigences suivantes :Les armatures doivent être conformes à la norme NF EN 10 080 et faire l’objet d’une certification de type NF-AFCAB.Dans le cas d’utilisation d’acier doux, l’acier doit être conforme à la norme NF A 35-015.Dans le cas d’utilisation d’acier inoxydable, l’acier inoxydable doit être conforme à la norme NF EN 10088.</w:t>
      </w:r>
    </w:p>
    <w:p>
      <w:pPr>
        <w:ind w:left="720" w:right="0"/>
      </w:pPr>
      <w:r>
        <w:rPr>
          <w:rStyle w:val="font_h2"/>
        </w:rPr>
        <w:t xml:space="preserve">2.3. Accessoires de levage et de fixation</w:t>
      </w:r>
    </w:p>
    <w:p>
      <w:pPr>
        <w:ind w:left="1440" w:right="0"/>
      </w:pPr>
      <w:r>
        <w:rPr>
          <w:rStyle w:val="font_h3"/>
        </w:rPr>
        <w:t xml:space="preserve">2.3.1. Levage</w:t>
      </w:r>
    </w:p>
    <w:p>
      <w:pPr/>
      <w:r>
        <w:rPr/>
        <w:t xml:space="preserve">Validé par le Groupe Spécialisé le 13/02/2024</w:t>
      </w:r>
    </w:p>
    <w:p>
      <w:pPr/>
      <w:r>
        <w:rPr>
          <w:b/>
          <w:bCs/>
        </w:rPr>
        <w:t xml:space="preserve">Description</w:t>
      </w:r>
    </w:p>
    <w:p>
      <w:pPr/>
      <w:r>
        <w:rPr/>
        <w:t xml:space="preserve">Deux cas se présentent : </w:t>
      </w:r>
    </w:p>
    <w:p>
      <w:pPr>
        <w:pPr/>
        <w:numPr>
          <w:ilvl w:val="0"/>
          <w:numId w:val="9"/>
        </w:numPr>
      </w:pPr>
      <w:r>
        <w:rPr/>
        <w:t xml:space="preserve">Le procédé d’insert de levage fait l’objet d’un Avis Technique en cours de validité : Description succincte des inserts de levage et référence à l’Avis Technique concerné.</w:t>
      </w:r>
    </w:p>
    <w:p>
      <w:pPr>
        <w:pPr/>
        <w:numPr>
          <w:ilvl w:val="0"/>
          <w:numId w:val="9"/>
        </w:numPr>
      </w:pPr>
      <w:r>
        <w:rPr/>
        <w:t xml:space="preserve">Le procédé d’insert de levage ne fait pas l’objet d’un Avis Technique : Description des éléments de levage (matériaux, géométrie, conditions de mise en œuvre dans les panneaux et principe de conception) accompagnée des dessins cotés correspondants.</w:t>
      </w:r>
    </w:p>
    <w:p>
      <w:pPr/>
      <w:r>
        <w:rPr>
          <w:b/>
          <w:bCs/>
        </w:rPr>
        <w:t xml:space="preserve">Jurisprudence du GS3.2</w:t>
      </w:r>
      <w:r>
        <w:rPr/>
        <w:t xml:space="preserve"> </w:t>
      </w:r>
    </w:p>
    <w:p>
      <w:pPr>
        <w:pPr/>
        <w:numPr>
          <w:ilvl w:val="0"/>
          <w:numId w:val="10"/>
        </w:numPr>
      </w:pPr>
      <w:r>
        <w:rPr/>
        <w:t xml:space="preserve">Dans le cas où le système de levage ne fait pas l’objet d’un Avis Technique :Résistance du béton lors des essais sur les éléments de levage : la valeur de CMU doit être déterminée pour la valeur de résistance à la compression du béton garantie à la première manutention par les éléments de levage. </w:t>
      </w:r>
    </w:p>
    <w:p>
      <w:pPr>
        <w:pPr/>
        <w:numPr>
          <w:ilvl w:val="0"/>
          <w:numId w:val="10"/>
        </w:numPr>
      </w:pPr>
      <w:r>
        <w:rPr/>
        <w:t xml:space="preserve">Coefficient de sécurité global relatif à la CMU :  Le coefficient d’effet dynamique de 1,15 est un coefficient dynamique forfaitaire indépendant des vitesses de manutention valable pour des conditions de levage usuelles : grue à tour et grue mobile à poste fixe.</w:t>
      </w:r>
    </w:p>
    <w:p>
      <w:pPr>
        <w:pPr/>
        <w:numPr>
          <w:ilvl w:val="0"/>
          <w:numId w:val="10"/>
        </w:numPr>
      </w:pPr>
      <w:r>
        <w:rPr/>
        <w:t xml:space="preserve">Les accessoires de levage non incorporés au procédé de mur n’entrent pas dans le champ d’examen d’aptitude à l’emploi du procédé. L’appréciation sur l’aptitude au levage du procédé porte uniquement sur la résistance des inserts de levage incorporés et sur l’impact dans leur intégration sur les performances du mur vis-à-vis de la résistance en phase provisoire et définitive.Ne sont pas visés: </w:t>
      </w:r>
      <w:r>
        <w:rPr/>
        <w:t xml:space="preserve">•les accessoires de levage non incorporés au procédé (élingues, chaînes, sangles, câbles, …). </w:t>
      </w:r>
      <w:r>
        <w:rPr/>
        <w:t xml:space="preserve">•les appareils de levage (grue mobile ou fixe, …). </w:t>
      </w:r>
      <w:r>
        <w:rPr/>
        <w:t xml:space="preserve">•les équipements de protection collective ou individuelle pour la sécurité des personnes (garde-corps, crochet, …). </w:t>
      </w:r>
    </w:p>
    <w:p>
      <w:pPr/>
      <w:r>
        <w:rPr/>
        <w:t xml:space="preserve">En ce qui concerne l’appréciation de l’aptitude au levage du procédé, l’Avis porte sur la résistance des inserts de levage et sur l’impact de leur intégration sur les performances du mur vis à vis de la résistance en phase provisoire et définitive sans préjuger des dispositions nécessaires à la sécurité des intervenants suivant la règlementation en vigueur.</w:t>
      </w:r>
    </w:p>
    <w:p>
      <w:pPr/>
      <w:r>
        <w:rPr>
          <w:b/>
          <w:bCs/>
        </w:rPr>
        <w:t xml:space="preserve">Justification</w:t>
      </w:r>
    </w:p>
    <w:p>
      <w:pPr/>
      <w:r>
        <w:rPr>
          <w:i/>
          <w:iCs/>
        </w:rPr>
        <w:t xml:space="preserve">Cas où l’insert de levage utilisé fait l’objet d’un Avis Technique en cours de validité</w:t>
      </w:r>
      <w:r>
        <w:rPr/>
        <w:t xml:space="preserve"> :   </w:t>
      </w:r>
    </w:p>
    <w:p>
      <w:pPr/>
      <w:r>
        <w:rPr/>
        <w:t xml:space="preserve">-Justification de la compatibilité entre les configurations de mur et les conditions d’utilisation visées et le domaine d’emploi de l’Avis Technique du procédé de levage ;</w:t>
      </w:r>
    </w:p>
    <w:p>
      <w:pPr/>
      <w:r>
        <w:rPr/>
        <w:t xml:space="preserve">-Description du rôle des acteurs et de leurs responsabilités dans l’implantation et le dimensionnement des inserts de levage ; </w:t>
      </w:r>
    </w:p>
    <w:p>
      <w:pPr/>
      <w:r>
        <w:rPr>
          <w:i/>
          <w:iCs/>
        </w:rPr>
        <w:t xml:space="preserve">Cas où l’élément de liaison utilisé ne fait pas l’objet d’un Avis Technique en cours de validité</w:t>
      </w:r>
      <w:r>
        <w:rPr/>
        <w:t xml:space="preserve"> : </w:t>
      </w:r>
    </w:p>
    <w:p>
      <w:pPr/>
      <w:r>
        <w:rPr/>
        <w:t xml:space="preserve">-Justification expérimentale de la tenue mécanique des dispositifs de levage et de manutention intégrés dans les panneaux selon le "Protocole d'essai pour les éléments de levage incorporés dans les MCI/MCII". Les valeurs de Charge Maximal d’Utilisation seront également déterminées conformément à ce protocole. </w:t>
      </w:r>
    </w:p>
    <w:p>
      <w:pPr/>
      <w:r>
        <w:rPr/>
        <w:t xml:space="preserve">-Description du rôle des acteurs et de leurs responsabilités dans le positionnement et dimensionnement des inserts de levage ;</w:t>
      </w:r>
    </w:p>
    <w:p>
      <w:pPr/>
      <w:r>
        <w:rPr>
          <w:b/>
          <w:bCs/>
        </w:rPr>
        <w:t xml:space="preserve">Illustration</w:t>
      </w:r>
    </w:p>
    <w:p>
      <w:pPr/>
      <w:r>
        <w:rPr/>
        <w:t xml:space="preserve">-Schémas du système de levage utilisé et principe d’incorporation dans les panneaux ;</w:t>
      </w:r>
    </w:p>
    <w:p>
      <w:pPr>
        <w:ind w:left="1440" w:right="0"/>
      </w:pPr>
      <w:r>
        <w:rPr>
          <w:rStyle w:val="font_h3"/>
        </w:rPr>
        <w:t xml:space="preserve">2.3.2. Etaiement en phase provisoire</w:t>
      </w:r>
    </w:p>
    <w:p>
      <w:pPr/>
      <w:r>
        <w:rPr/>
        <w:t xml:space="preserve">Validé par le Groupe Spécialisé le 14/02/2019</w:t>
      </w:r>
    </w:p>
    <w:p>
      <w:pPr/>
      <w:r>
        <w:rPr>
          <w:b/>
          <w:bCs/>
        </w:rPr>
        <w:t xml:space="preserve">Description</w:t>
      </w:r>
    </w:p>
    <w:p>
      <w:pPr/>
      <w:r>
        <w:rPr/>
        <w:t xml:space="preserve">Indiquer les prescriptions à respecter concernant l’étaiement des panneaux en phase provisoire</w:t>
      </w:r>
    </w:p>
    <w:p>
      <w:pPr/>
      <w:r>
        <w:rPr/>
        <w:t xml:space="preserve">Utilisation des douilles : Description du type de douille utilisé pour assurer la liaison aux étais tire-pousse, barrettes, etc. pendant la phase de montage et bétonnage du noyau.Préciser à quel moment les douilles sont insérées dans l’élément de mur. Préciser l’organisme en charge du dimensionnement et positionnement des douilles dans le panneau.</w:t>
      </w:r>
    </w:p>
    <w:p>
      <w:pPr/>
      <w:r>
        <w:rPr>
          <w:b/>
          <w:bCs/>
        </w:rPr>
        <w:t xml:space="preserve">Jurisprudence du GS3.2</w:t>
      </w:r>
      <w:r>
        <w:rPr/>
        <w:t xml:space="preserve">Exclusion des douilles PVC qui ne sont pas admises étant donné le risque d’endommagement du pas de vis lors de la pose.</w:t>
      </w:r>
    </w:p>
    <w:p>
      <w:pPr/>
      <w:r>
        <w:rPr>
          <w:b/>
          <w:bCs/>
        </w:rPr>
        <w:t xml:space="preserve">Illustration</w:t>
      </w:r>
    </w:p>
    <w:p>
      <w:pPr/>
      <w:r>
        <w:rPr/>
        <w:t xml:space="preserve">Principe d'intégration des douilles dans les panneaux.</w:t>
      </w:r>
    </w:p>
    <w:p>
      <w:pPr>
        <w:ind w:left="1440" w:right="0"/>
      </w:pPr>
      <w:r>
        <w:rPr>
          <w:rStyle w:val="font_h3"/>
        </w:rPr>
        <w:t xml:space="preserve">2.3.3. Mode de liaison sur site</w:t>
      </w:r>
    </w:p>
    <w:p>
      <w:pPr>
        <w:ind w:left="2160" w:right="0"/>
      </w:pPr>
      <w:r>
        <w:rPr>
          <w:rStyle w:val="font_h3"/>
        </w:rPr>
        <w:t xml:space="preserve">2.3.3.1. Panneaux porteurs</w:t>
      </w:r>
    </w:p>
    <w:p>
      <w:pPr/>
      <w:r>
        <w:rPr/>
        <w:t xml:space="preserve">Validé par le Groupe Spécialisé le 14/02/2019</w:t>
      </w:r>
    </w:p>
    <w:p>
      <w:pPr/>
      <w:r>
        <w:rPr>
          <w:b/>
          <w:bCs/>
        </w:rPr>
        <w:t xml:space="preserve">Description</w:t>
      </w:r>
    </w:p>
    <w:p>
      <w:pPr/>
      <w:r>
        <w:rPr/>
        <w:t xml:space="preserve">Description du mode de liaison des panneaux porteurs à la structure (plancher, fondation, liaison horizontale en partie basse, …) en distinguant les cas avec et sans exigences sismiques.</w:t>
      </w:r>
    </w:p>
    <w:p>
      <w:pPr/>
      <w:r>
        <w:rPr>
          <w:b/>
          <w:bCs/>
        </w:rPr>
        <w:t xml:space="preserve">Illustration</w:t>
      </w:r>
    </w:p>
    <w:p>
      <w:pPr/>
      <w:r>
        <w:rPr/>
        <w:t xml:space="preserve">Principe d’assemblage entre panneaux porteurs : principe de superposition des panneaux, principe de clavetage vertical entre panneaux adjacents (en zone courante et en angle) ; </w:t>
      </w:r>
    </w:p>
    <w:p>
      <w:pPr/>
      <w:r>
        <w:rPr/>
        <w:t xml:space="preserve">Principe d’assemblage entre panneaux porteurs et la structure de l’ouvrage : jonctions panneaux-fondations et jonctions panneaux-planchers (suivant différents types de plancher visés et différents types de structures visés) ;</w:t>
      </w:r>
    </w:p>
    <w:p>
      <w:pPr>
        <w:ind w:left="2160" w:right="0"/>
      </w:pPr>
      <w:r>
        <w:rPr>
          <w:rStyle w:val="font_h3"/>
        </w:rPr>
        <w:t xml:space="preserve">2.3.3.2. Panneaux non porteurs</w:t>
      </w:r>
    </w:p>
    <w:p>
      <w:pPr/>
      <w:r>
        <w:rPr/>
        <w:t xml:space="preserve">Validé par le Groupe Spécialisé le 14/02/2019</w:t>
      </w:r>
    </w:p>
    <w:p>
      <w:pPr/>
      <w:r>
        <w:rPr>
          <w:b/>
          <w:bCs/>
        </w:rPr>
        <w:t xml:space="preserve">Description</w:t>
      </w:r>
    </w:p>
    <w:p>
      <w:pPr/>
      <w:r>
        <w:rPr/>
        <w:t xml:space="preserve">Description du mode de liaison des panneaux non porteurs à la structure support (pour chaque type de structure support visée) en distinguant les cas avec et sans exigences sismiques.</w:t>
      </w:r>
    </w:p>
    <w:p>
      <w:pPr/>
      <w:r>
        <w:rPr/>
        <w:t xml:space="preserve">Description des systèmes de fixation des panneaux non porteur: nature, matériaux, géométrie et positionnement.</w:t>
      </w:r>
    </w:p>
    <w:p>
      <w:pPr/>
      <w:r>
        <w:rPr>
          <w:b/>
          <w:bCs/>
        </w:rPr>
        <w:t xml:space="preserve">Justification</w:t>
      </w:r>
    </w:p>
    <w:p>
      <w:pPr/>
      <w:r>
        <w:rPr/>
        <w:t xml:space="preserve">Justifier la durabilité des systèmes de fixation des panneaux non porteurs (risques de corrosion, ...) qui doit correspondre à la durée d'utilisation des panneaux (et de l'ouvrage).</w:t>
      </w:r>
    </w:p>
    <w:p>
      <w:pPr/>
      <w:r>
        <w:rPr>
          <w:b/>
          <w:bCs/>
        </w:rPr>
        <w:t xml:space="preserve">Illustration</w:t>
      </w:r>
    </w:p>
    <w:p>
      <w:pPr/>
      <w:r>
        <w:rPr/>
        <w:t xml:space="preserve">Principe d’assemblage entre panneaux non porteurs : principe de superposition/juxtaposition des panneaux. </w:t>
      </w:r>
    </w:p>
    <w:p>
      <w:pPr/>
      <w:r>
        <w:rPr/>
        <w:t xml:space="preserve">Principe de fixation des panneaux non porteur sur la structure de l’ouvrage (avec et hors exigence sismique, suivant différents types de support visés).</w:t>
      </w:r>
    </w:p>
    <w:p>
      <w:pPr>
        <w:ind w:left="1440" w:right="0"/>
      </w:pPr>
      <w:r>
        <w:rPr>
          <w:rStyle w:val="font_h3"/>
        </w:rPr>
        <w:t xml:space="preserve">2.3.4. Liaison des deux voiles</w:t>
      </w:r>
    </w:p>
    <w:p>
      <w:pPr/>
      <w:r>
        <w:rPr/>
        <w:t xml:space="preserve">Validé par le Groupe Spécialisé le 26/09/2019</w:t>
      </w:r>
    </w:p>
    <w:p>
      <w:pPr/>
      <w:r>
        <w:rPr>
          <w:b/>
          <w:bCs/>
        </w:rPr>
        <w:t xml:space="preserve">Description</w:t>
      </w:r>
    </w:p>
    <w:p>
      <w:pPr/>
      <w:r>
        <w:rPr/>
        <w:t xml:space="preserve">Description des éléments constitutifs du système de liaison entre les deux parois du panneau. </w:t>
      </w:r>
    </w:p>
    <w:p>
      <w:pPr/>
      <w:r>
        <w:rPr>
          <w:i/>
          <w:iCs/>
        </w:rPr>
        <w:t xml:space="preserve">Cas d’un procédé de liaison faisant l’objet d’un Avis Technique en cours de validité</w:t>
      </w:r>
      <w:r>
        <w:rPr/>
        <w:t xml:space="preserve"> : description succincte du procédé de liaison et référence de l’Avis Technique concerné. </w:t>
      </w:r>
    </w:p>
    <w:p>
      <w:pPr/>
      <w:r>
        <w:rPr>
          <w:i/>
          <w:iCs/>
        </w:rPr>
        <w:t xml:space="preserve">Cas d’un procédé de liaison ne faisant pas l’objet d’un Avis Technique</w:t>
      </w:r>
      <w:r>
        <w:rPr/>
        <w:t xml:space="preserve"> : se référer aux éléments de description attendus pour la famille des procédés de "Dispositif d'accrochage pour voile extérieur librement dilatable".</w:t>
      </w:r>
    </w:p>
    <w:p>
      <w:pPr/>
      <w:r>
        <w:rPr>
          <w:b/>
          <w:bCs/>
        </w:rPr>
        <w:t xml:space="preserve">Justification</w:t>
      </w:r>
    </w:p>
    <w:p>
      <w:pPr/>
      <w:r>
        <w:rPr>
          <w:i/>
          <w:iCs/>
        </w:rPr>
        <w:t xml:space="preserve">Cas où l’élément de liaison utilisé fait l’objet d’un Avis Technique en cours de validité </w:t>
      </w:r>
      <w:r>
        <w:rPr/>
        <w:t xml:space="preserve"> </w:t>
      </w:r>
    </w:p>
    <w:p>
      <w:pPr/>
      <w:r>
        <w:rPr/>
        <w:t xml:space="preserve">-Justification de la compatibilité entre les configurations de mur et les conditions d’utilisation visées et le domaine d’emploi de l’Avis Technique du procédé de liaison</w:t>
      </w:r>
    </w:p>
    <w:p>
      <w:pPr/>
      <w:r>
        <w:rPr/>
        <w:t xml:space="preserve">-Description du rôle des acteurs et de leurs responsabilités dans le positionnement et le dimensionnement des éléments de liaison ; </w:t>
      </w:r>
    </w:p>
    <w:p>
      <w:pPr/>
      <w:r>
        <w:rPr/>
        <w:t xml:space="preserve">-Justification du dimensionnement du système de liaison : fournir un exemple de calcul pour le cas d’un panneau de dimension maximale (poids propre, vent, séisme, sollicitations thermiques, …). </w:t>
      </w:r>
    </w:p>
    <w:p>
      <w:pPr/>
      <w:r>
        <w:rPr>
          <w:i/>
          <w:iCs/>
        </w:rPr>
        <w:t xml:space="preserve">Cas où l’élément de liaison utilisé ne fait pas l’objet d’un Avis Technique</w:t>
      </w:r>
      <w:r>
        <w:rPr/>
        <w:t xml:space="preserve"> : </w:t>
      </w:r>
    </w:p>
    <w:p>
      <w:pPr/>
      <w:r>
        <w:rPr/>
        <w:t xml:space="preserve">-Se référer à la liste des éléments de justification de la famille des "Dispositif d'accrochage pour voile extérieur librement dilatable". </w:t>
      </w:r>
    </w:p>
    <w:p>
      <w:pPr/>
      <w:r>
        <w:rPr/>
        <w:t xml:space="preserve">-Description du rôle des acteurs et de leurs responsabilités dans le positionnement et le dimensionnement des fixations ; </w:t>
      </w:r>
    </w:p>
    <w:p>
      <w:pPr/>
      <w:r>
        <w:rPr/>
        <w:t xml:space="preserve">-Justification du dimensionnement du système de liaison : fournir un exemple de calcul pour le cas d’un panneau de dimension maximale (poids propre, vent, séisme, sollicitations thermiques, …).  </w:t>
      </w:r>
    </w:p>
    <w:p>
      <w:pPr/>
      <w:r>
        <w:rPr>
          <w:b/>
          <w:bCs/>
        </w:rPr>
        <w:t xml:space="preserve">Jurisprudence du GS3.2</w:t>
      </w:r>
    </w:p>
    <w:p>
      <w:pPr/>
      <w:r>
        <w:rPr/>
        <w:t xml:space="preserve">-Dans le cas où le procédé de panneaux sandwichs ne fait pas l’objet d’une certification par un organisme tiers de type NF, l’épaisseur minimale des parois compatibles avec le système de liaison devra être majorée de 5 mm par rapport à celle requise pour un procédé faisant l’objet d’une certification.</w:t>
      </w:r>
    </w:p>
    <w:p>
      <w:pPr/>
      <w:r>
        <w:rPr/>
        <w:t xml:space="preserve">-Modalités de détermination des raideurs en cisaillement-flexion : raideur moyenne en retenant la pente à l’origine de chaque courbes d’essais (raideur à déterminer à partir d’une charge correspondant à 0,4 Fmax).</w:t>
      </w:r>
    </w:p>
    <w:p>
      <w:pPr/>
      <w:r>
        <w:rPr/>
        <w:t xml:space="preserve">-Méthode de calcul des capacités résistantes en situation sismique des systèmes d’accrochage pour paroi extérieure librement dilatable : en l’absence d’essais cycliques sur les dispositifs de liaison, il convient d’adopter la formule suivante: : R(Rd,sis)=0.4.R(rk,stat)/γ(matériau,sis)</w:t>
      </w:r>
    </w:p>
    <w:p>
      <w:pPr/>
      <w:r>
        <w:rPr/>
        <w:t xml:space="preserve">-Appliquer les coefficients de sécurité үm et үd adoptés dans le « Protocole d’essais statiques et d’essais en situation sismique sur les dispositifs d’accrochage pour voile extérieur librement dilatable  » pour les systèmes de liaison sollicités en traction et conduisant à une rupture par arrachement ou glissement dans le béton, c’est à dire : </w:t>
      </w:r>
    </w:p>
    <w:p>
      <w:pPr/>
      <w:r>
        <w:rPr/>
        <w:t xml:space="preserve">Application d’un coefficient «үd x үm » en situation normale avec : </w:t>
      </w:r>
    </w:p>
    <w:p>
      <w:pPr>
        <w:pPr/>
        <w:numPr>
          <w:ilvl w:val="0"/>
          <w:numId w:val="11"/>
        </w:numPr>
      </w:pPr>
      <w:r>
        <w:rPr/>
        <w:t xml:space="preserve">үd = 2 (rupture de type « fragile » et ancrage dans des parois en béton mince) </w:t>
      </w:r>
    </w:p>
    <w:p>
      <w:pPr>
        <w:pPr/>
        <w:numPr>
          <w:ilvl w:val="0"/>
          <w:numId w:val="11"/>
        </w:numPr>
      </w:pPr>
      <w:r>
        <w:rPr/>
        <w:t xml:space="preserve">Үm = Үc (béton) = 1.5 pour les produits non certifiés </w:t>
      </w:r>
    </w:p>
    <w:p>
      <w:pPr>
        <w:pPr/>
        <w:numPr>
          <w:ilvl w:val="0"/>
          <w:numId w:val="11"/>
        </w:numPr>
      </w:pPr>
      <w:r>
        <w:rPr/>
        <w:t xml:space="preserve">Үm = Үc (béton) = 1.35 pour les produits certifiés (de type NF 548 ou équivalent)</w:t>
      </w:r>
    </w:p>
    <w:p>
      <w:pPr/>
      <w:r>
        <w:rPr>
          <w:b/>
          <w:bCs/>
        </w:rPr>
        <w:t xml:space="preserve">Illustration</w:t>
      </w:r>
    </w:p>
    <w:p>
      <w:pPr/>
      <w:r>
        <w:rPr/>
        <w:t xml:space="preserve">Schémas des éléments de liaison entre parois et principe de positionnement des éléments sur un panneau aveugle et sur un panneau avec ouvertures.</w:t>
      </w:r>
    </w:p>
    <w:p>
      <w:pPr>
        <w:ind w:left="1440" w:right="0"/>
      </w:pPr>
      <w:r>
        <w:rPr>
          <w:rStyle w:val="font_h3"/>
        </w:rPr>
        <w:t xml:space="preserve">2.3.5. Autres accessoires</w:t>
      </w:r>
    </w:p>
    <w:p>
      <w:pPr/>
      <w:r>
        <w:rPr/>
        <w:t xml:space="preserve">Validé par le Groupe Spécialisé le 14/02/2019</w:t>
      </w:r>
    </w:p>
    <w:p>
      <w:pPr/>
      <w:r>
        <w:rPr>
          <w:b/>
          <w:bCs/>
        </w:rPr>
        <w:t xml:space="preserve">Description</w:t>
      </w:r>
    </w:p>
    <w:p>
      <w:pPr/>
      <w:r>
        <w:rPr/>
        <w:t xml:space="preserve">Décrire les accessoires complémentaires utilisés dans le cadre du procédé de panneau sandwich de façade : boites d’armature d’attentes, coupleurs, accessoires permettant la continuité des armatures, etc. </w:t>
      </w:r>
    </w:p>
    <w:p>
      <w:pPr/>
      <w:r>
        <w:rPr>
          <w:b/>
          <w:bCs/>
        </w:rPr>
        <w:t xml:space="preserve">Jurisprudence GS3.2</w:t>
      </w:r>
      <w:r>
        <w:rPr/>
        <w:t xml:space="preserve"> </w:t>
      </w:r>
    </w:p>
    <w:p>
      <w:pPr/>
      <w:r>
        <w:rPr/>
        <w:t xml:space="preserve">Les boites d’attente et les coupleurs doivent faire l'objet d'une certification de type NF AFCAB afin d’avoir des garanties sur la constance des performances de ces accessoires.</w:t>
      </w:r>
    </w:p>
    <w:p>
      <w:pPr>
        <w:ind w:left="720" w:right="0"/>
      </w:pPr>
      <w:r>
        <w:rPr>
          <w:rStyle w:val="font_h2"/>
        </w:rPr>
        <w:t xml:space="preserve">2.4. Isolants</w:t>
      </w:r>
    </w:p>
    <w:p>
      <w:pPr/>
      <w:r>
        <w:rPr/>
        <w:t xml:space="preserve">Validé par le Groupe Spécialisé le 14/02/2019</w:t>
      </w:r>
    </w:p>
    <w:p>
      <w:pPr/>
      <w:r>
        <w:rPr>
          <w:b/>
          <w:bCs/>
        </w:rPr>
        <w:t xml:space="preserve">Description</w:t>
      </w:r>
    </w:p>
    <w:p>
      <w:pPr/>
      <w:r>
        <w:rPr/>
        <w:t xml:space="preserve">Description des isolants visés : nature et gamme d’épaisseur, performances thermiques, norme de référence et classement ISOLE.</w:t>
      </w:r>
    </w:p>
    <w:p>
      <w:pPr/>
      <w:r>
        <w:rPr>
          <w:b/>
          <w:bCs/>
        </w:rPr>
        <w:t xml:space="preserve">Justification</w:t>
      </w:r>
    </w:p>
    <w:p>
      <w:pPr/>
      <w:r>
        <w:rPr/>
        <w:t xml:space="preserve">-Transmettre le certificat de type ACERMI de l'isolant. </w:t>
      </w:r>
    </w:p>
    <w:p>
      <w:pPr/>
      <w:r>
        <w:rPr/>
        <w:t xml:space="preserve">-Justifier le classement ISOLE de l'isolant. </w:t>
      </w:r>
    </w:p>
    <w:p>
      <w:pPr/>
      <w:r>
        <w:rPr/>
        <w:t xml:space="preserve">-Utilisation de la laine de roche en partie courante :  Etant donné que le plan d’étanchéité des panneaux est situé au niveau de la paroi intérieure côté isolant, justifier le comportement à l’eau et la compatibilité de la laine de roche qui risque d’absorber une quantité importante d’eau et donc de ralentir sensiblement l’évacuation des éventuelles eaux d’infiltration au niveau des joints horizontaux. Cette accumulation de quantité d’eau dans la couche de laine de roche risque d’engendrer une dégradation prématurée de l’isolant.Il est donc indispensable de justifier que les caractéristiques de la laine de roche (justifier une équivalence au classement ISOLE pour une utilisation dans une paroi en béton préfabriqué) sont compatibles avec les conditions d’exposition à l’eau de l’isolant (intégrité de l’isolant, …).Les caractéristiques de la laine de roche devront être détaillées dans le dossier technique. </w:t>
      </w:r>
    </w:p>
    <w:p>
      <w:pPr/>
      <w:r>
        <w:rPr>
          <w:b/>
          <w:bCs/>
        </w:rPr>
        <w:t xml:space="preserve">Jurisprudence GS3.2</w:t>
      </w:r>
      <w:r>
        <w:rPr/>
        <w:t xml:space="preserve"> </w:t>
      </w:r>
    </w:p>
    <w:p>
      <w:pPr/>
      <w:r>
        <w:rPr/>
        <w:t xml:space="preserve">Sauf justifications particulières sur le comportement à l’eau (intégrité, absorption importante, …) de l’isolant, l’utilisation de la laine de roche en partie courante n’est pas acceptée par le GS. Utilisation ponctuelle vis-à-vis de la sécurité incendie (baie, joints horizontaux) acceptée par le GS.</w:t>
      </w:r>
    </w:p>
    <w:p>
      <w:pPr/>
      <w:r>
        <w:rPr>
          <w:b/>
          <w:bCs/>
        </w:rPr>
        <w:t xml:space="preserve">Critères d'évaluation</w:t>
      </w:r>
    </w:p>
    <w:p>
      <w:pPr/>
      <w:r>
        <w:rPr/>
        <w:t xml:space="preserve">L’isolant devra avoir un classement ISOLE minimal (selon les critères du cahier F de l’ACERMI) suivant : I2S1O2L3.</w:t>
      </w:r>
    </w:p>
    <w:p>
      <w:pPr>
        <w:ind w:left="720" w:right="0"/>
      </w:pPr>
      <w:r>
        <w:rPr>
          <w:rStyle w:val="font_h2"/>
        </w:rPr>
        <w:t xml:space="preserve">2.5. Joints d'étanchéité entre panneaux</w:t>
      </w:r>
    </w:p>
    <w:p>
      <w:pPr>
        <w:ind w:left="1440" w:right="0"/>
      </w:pPr>
      <w:r>
        <w:rPr>
          <w:rStyle w:val="font_h3"/>
        </w:rPr>
        <w:t xml:space="preserve">2.5.1. Joints horizontaux</w:t>
      </w:r>
    </w:p>
    <w:p>
      <w:pPr/>
      <w:r>
        <w:rPr/>
        <w:t xml:space="preserve">Validé par le Groupe Spécialisé le 14/02/2019</w:t>
      </w:r>
    </w:p>
    <w:p>
      <w:pPr/>
      <w:r>
        <w:rPr>
          <w:b/>
          <w:bCs/>
        </w:rPr>
        <w:t xml:space="preserve">Description</w:t>
      </w:r>
    </w:p>
    <w:p>
      <w:pPr/>
      <w:r>
        <w:rPr/>
        <w:t xml:space="preserve">Description du traitement de l'étanchéité des joints horizontaux utilisés pour la paroi extérieure et intérieure dans le cadre du procédé de panneau sandwich de façade :  nature et positionnement des différents accessoires, choix du mastic pour la garniture des joints.</w:t>
      </w:r>
    </w:p>
    <w:p>
      <w:pPr/>
      <w:r>
        <w:rPr>
          <w:b/>
          <w:bCs/>
        </w:rPr>
        <w:t xml:space="preserve">Justification</w:t>
      </w:r>
    </w:p>
    <w:p>
      <w:pPr/>
      <w:r>
        <w:rPr/>
        <w:t xml:space="preserve">-Label de type SNJF des mastics d'étanchéité.</w:t>
      </w:r>
    </w:p>
    <w:p>
      <w:pPr/>
      <w:r>
        <w:rPr/>
        <w:t xml:space="preserve">-Justification par essais et/ou étude de l’étanchéité à l’eau et à l’air des jonctions entre parois (fiches techniques et schémas) avec consultation du GS2 pour des dispositions sortant du DTU 22.1.</w:t>
      </w:r>
    </w:p>
    <w:p>
      <w:pPr/>
      <w:r>
        <w:rPr>
          <w:b/>
          <w:bCs/>
        </w:rPr>
        <w:t xml:space="preserve">Illustration</w:t>
      </w:r>
    </w:p>
    <w:p>
      <w:pPr/>
      <w:r>
        <w:rPr/>
        <w:t xml:space="preserve">Détail des dispositions prévues pour le traitement de l'étanchéité des joints horizontaux.</w:t>
      </w:r>
    </w:p>
    <w:p>
      <w:pPr>
        <w:ind w:left="1440" w:right="0"/>
      </w:pPr>
      <w:r>
        <w:rPr>
          <w:rStyle w:val="font_h3"/>
        </w:rPr>
        <w:t xml:space="preserve">2.5.2. Joints verticaux</w:t>
      </w:r>
    </w:p>
    <w:p>
      <w:pPr/>
      <w:r>
        <w:rPr/>
        <w:t xml:space="preserve">Validé par le Groupe Spécialisé le 14/02/2019</w:t>
      </w:r>
    </w:p>
    <w:p>
      <w:pPr/>
      <w:r>
        <w:rPr>
          <w:b/>
          <w:bCs/>
        </w:rPr>
        <w:t xml:space="preserve">Description</w:t>
      </w:r>
    </w:p>
    <w:p>
      <w:pPr/>
      <w:r>
        <w:rPr/>
        <w:t xml:space="preserve">Description du traitement de l'étanchéité des joints verticaux pour la paroi extérieure et intérieure utilisés dans le cadre du procédé de panneau sandwich de façade : nature et positionnement des différents accessoires, choix du mastic pour la garniture des joints</w:t>
      </w:r>
    </w:p>
    <w:p>
      <w:pPr/>
      <w:r>
        <w:rPr>
          <w:b/>
          <w:bCs/>
        </w:rPr>
        <w:t xml:space="preserve">Justification</w:t>
      </w:r>
    </w:p>
    <w:p>
      <w:pPr/>
      <w:r>
        <w:rPr/>
        <w:t xml:space="preserve">-Label de type SNJF des mastics d'étanchéité.</w:t>
      </w:r>
    </w:p>
    <w:p>
      <w:pPr/>
      <w:r>
        <w:rPr/>
        <w:t xml:space="preserve">-Justification par essais et/ou étude de l’étanchéité à l’eau et à l’air des jonctions entre parois (fiches techniques et schémas) avec consultation du GS2 pour des dispositions sortant du DTU 22.1.</w:t>
      </w:r>
    </w:p>
    <w:p>
      <w:pPr/>
      <w:r>
        <w:rPr>
          <w:b/>
          <w:bCs/>
        </w:rPr>
        <w:t xml:space="preserve">Illustration</w:t>
      </w:r>
    </w:p>
    <w:p>
      <w:pPr/>
      <w:r>
        <w:rPr/>
        <w:t xml:space="preserve">-Détail du traitement de l'étanchéité des joints verticaux. </w:t>
      </w:r>
    </w:p>
    <w:p>
      <w:pPr/>
      <w:r>
        <w:rPr/>
        <w:t xml:space="preserve">-Détail du traitement des croisements de joints.</w:t>
      </w:r>
    </w:p>
    <w:p>
      <w:pPr>
        <w:ind w:left="1440" w:right="0"/>
      </w:pPr>
      <w:r>
        <w:rPr>
          <w:rStyle w:val="font_h3"/>
        </w:rPr>
        <w:t xml:space="preserve">2.5.3. Protection de la tête des panneaux</w:t>
      </w:r>
    </w:p>
    <w:p>
      <w:pPr/>
      <w:r>
        <w:rPr/>
        <w:t xml:space="preserve">Validé par le Groupe Spécialisé le 14/02/2019</w:t>
      </w:r>
    </w:p>
    <w:p>
      <w:pPr/>
      <w:r>
        <w:rPr>
          <w:b/>
          <w:bCs/>
        </w:rPr>
        <w:t xml:space="preserve">Description</w:t>
      </w:r>
    </w:p>
    <w:p>
      <w:pPr/>
      <w:r>
        <w:rPr/>
        <w:t xml:space="preserve">Décrire les accessoires utilisés pour protéger la tête des murs et garantir l'étanchéité (par exemple: couvertine).</w:t>
      </w:r>
    </w:p>
    <w:p>
      <w:pPr/>
      <w:r>
        <w:rPr>
          <w:b/>
          <w:bCs/>
        </w:rPr>
        <w:t xml:space="preserve">Illustration</w:t>
      </w:r>
    </w:p>
    <w:p>
      <w:pPr/>
      <w:r>
        <w:rPr/>
        <w:t xml:space="preserve">-Détail du traitement de l'étanchéité de la tête de mur.</w:t>
      </w:r>
    </w:p>
    <w:p>
      <w:pPr/>
      <w:r>
        <w:rPr/>
        <w:t xml:space="preserve">-Détails des prolongements de mur en acrotère (acrotère bas et acrotère haut).</w:t>
      </w:r>
    </w:p>
    <w:p>
      <w:pPr>
        <w:ind w:left="1440" w:right="0"/>
      </w:pPr>
      <w:r>
        <w:rPr>
          <w:rStyle w:val="font_h3"/>
        </w:rPr>
        <w:t xml:space="preserve">2.5.4. Pièces complémentaires pour la protection d’isolant contre la propagation du feu</w:t>
      </w:r>
    </w:p>
    <w:p>
      <w:pPr/>
      <w:r>
        <w:rPr/>
        <w:t xml:space="preserve">Validé par le Groupe Spécialisé le 14/02/2019</w:t>
      </w:r>
    </w:p>
    <w:p>
      <w:pPr/>
      <w:r>
        <w:rPr>
          <w:b/>
          <w:bCs/>
        </w:rPr>
        <w:t xml:space="preserve">Description</w:t>
      </w:r>
    </w:p>
    <w:p>
      <w:pPr/>
      <w:r>
        <w:rPr/>
        <w:t xml:space="preserve">Décrire les dispositions utilisées pour garantir la protection au feu de l’isolant au niveau :(i) des ouvertures(ii) des joints horizontaux entre panneaux. </w:t>
      </w:r>
    </w:p>
    <w:p>
      <w:pPr/>
      <w:r>
        <w:rPr/>
        <w:t xml:space="preserve">Ces dispositions constructives devront être validées dans le cadre d'une Appréciation de Laboratoire agréé établie pour justifier l’utilisation du procédé en cas d’incendie.</w:t>
      </w:r>
    </w:p>
    <w:p>
      <w:pPr/>
      <w:r>
        <w:rPr>
          <w:b/>
          <w:bCs/>
        </w:rPr>
        <w:t xml:space="preserve">Justification</w:t>
      </w:r>
    </w:p>
    <w:p>
      <w:pPr/>
      <w:r>
        <w:rPr/>
        <w:t xml:space="preserve">-Appréciation au feu de laboratoire agréé.</w:t>
      </w:r>
    </w:p>
    <w:p>
      <w:pPr/>
      <w:r>
        <w:rPr>
          <w:b/>
          <w:bCs/>
        </w:rPr>
        <w:t xml:space="preserve">Illustration</w:t>
      </w:r>
    </w:p>
    <w:p>
      <w:pPr/>
      <w:r>
        <w:rPr/>
        <w:t xml:space="preserve">Détail des dispositions constructives pour limiter les risques de propagation du feu dans l'isolant.</w:t>
      </w:r>
    </w:p>
    <w:p>
      <w:pPr>
        <w:ind w:left="720" w:right="0"/>
      </w:pPr>
      <w:r>
        <w:rPr>
          <w:rStyle w:val="font_h2"/>
        </w:rPr>
        <w:t xml:space="preserve">2.6. Mortier de pose</w:t>
      </w:r>
    </w:p>
    <w:p>
      <w:pPr/>
      <w:r>
        <w:rPr/>
        <w:t xml:space="preserve">Validé par le Groupe Spécialisé le 14/02/2019</w:t>
      </w:r>
    </w:p>
    <w:p>
      <w:pPr/>
      <w:r>
        <w:rPr>
          <w:b/>
          <w:bCs/>
        </w:rPr>
        <w:t xml:space="preserve">Description</w:t>
      </w:r>
    </w:p>
    <w:p>
      <w:pPr/>
      <w:r>
        <w:rPr/>
        <w:t xml:space="preserve">Décrire le mortier utilisé pour le calage et la pose du procédé de mur de façade de type sandwich.</w:t>
      </w:r>
    </w:p>
    <w:p>
      <w:pPr/>
      <w:r>
        <w:rPr>
          <w:b/>
          <w:bCs/>
        </w:rPr>
        <w:t xml:space="preserve">Justification</w:t>
      </w:r>
    </w:p>
    <w:p>
      <w:pPr/>
      <w:r>
        <w:rPr/>
        <w:t xml:space="preserve">Fiche technique du mortier.</w:t>
      </w:r>
    </w:p>
    <w:p>
      <w:pPr/>
      <w:r>
        <w:rPr>
          <w:b/>
          <w:bCs/>
        </w:rPr>
        <w:t xml:space="preserve">Illustration</w:t>
      </w:r>
    </w:p>
    <w:p>
      <w:pPr/>
      <w:r>
        <w:rPr/>
        <w:t xml:space="preserve">Positionnement du mortier de pose en pied des panneaux.</w:t>
      </w:r>
    </w:p>
    <w:p>
      <w:pPr>
        <w:ind w:left="720" w:right="0"/>
      </w:pPr>
      <w:r>
        <w:rPr>
          <w:rStyle w:val="font_h2"/>
        </w:rPr>
        <w:t xml:space="preserve">2.7. Revêtements intérieurs et extérieurs</w:t>
      </w:r>
    </w:p>
    <w:p>
      <w:pPr/>
      <w:r>
        <w:rPr/>
        <w:t xml:space="preserve">Validé par le Groupe Spécialisé le 14/02/2019</w:t>
      </w:r>
    </w:p>
    <w:p>
      <w:pPr/>
      <w:r>
        <w:rPr>
          <w:b/>
          <w:bCs/>
        </w:rPr>
        <w:t xml:space="preserve">Description</w:t>
      </w:r>
    </w:p>
    <w:p>
      <w:pPr/>
      <w:r>
        <w:rPr/>
        <w:t xml:space="preserve">Préciser les différents types de revêtements, intérieurs et extérieurs, utilisés avec le procédé de mur.</w:t>
      </w:r>
    </w:p>
    <w:p>
      <w:pPr/>
      <w:r>
        <w:rPr>
          <w:b/>
          <w:bCs/>
        </w:rPr>
        <w:t xml:space="preserve">Justification</w:t>
      </w:r>
    </w:p>
    <w:p>
      <w:pPr/>
      <w:r>
        <w:rPr/>
        <w:t xml:space="preserve">Justifier la compatibilité des revêtements visés avec le procédé de mur.</w:t>
      </w:r>
    </w:p>
    <w:p>
      <w:pPr/>
      <w:r>
        <w:rPr>
          <w:rStyle w:val="font_h1"/>
        </w:rPr>
        <w:t xml:space="preserve">3. Description des éléments</w:t>
      </w:r>
    </w:p>
    <w:p>
      <w:pPr>
        <w:ind w:left="720" w:right="0"/>
      </w:pPr>
      <w:r>
        <w:rPr>
          <w:rStyle w:val="font_h2"/>
        </w:rPr>
        <w:t xml:space="preserve">3.1. Panneaux aveugles</w:t>
      </w:r>
    </w:p>
    <w:p>
      <w:pPr/>
      <w:r>
        <w:rPr/>
        <w:t xml:space="preserve">Validé par le Groupe Spécialisé le 14/02/2019</w:t>
      </w:r>
    </w:p>
    <w:p>
      <w:pPr/>
      <w:r>
        <w:rPr>
          <w:b/>
          <w:bCs/>
        </w:rPr>
        <w:t xml:space="preserve">Description</w:t>
      </w:r>
    </w:p>
    <w:p>
      <w:pPr/>
      <w:r>
        <w:rPr/>
        <w:t xml:space="preserve">-Préciser les caractéristiques géométriques du panneau sandwich aveugle : épaisseurs minimales et maximales des panneaux, épaisseurs minimales et maximales des parois, dimensions maximales des panneaux (largeur et longueur), surface maximale des panneaux, épaisseurs de la couche d’isolant. </w:t>
      </w:r>
    </w:p>
    <w:p>
      <w:pPr/>
      <w:r>
        <w:rPr/>
        <w:t xml:space="preserve">-Préciser le ferraillage de la paroi extérieure et enrobage minimum des aciers.</w:t>
      </w:r>
    </w:p>
    <w:p>
      <w:pPr/>
      <w:r>
        <w:rPr/>
        <w:t xml:space="preserve">-Préciser les principes de positionnement des éléments de levage et de positionnement des éléments de liaison entre les deux parois. </w:t>
      </w:r>
    </w:p>
    <w:p>
      <w:pPr/>
      <w:r>
        <w:rPr/>
        <w:t xml:space="preserve">-Pour les panneaux porteurs, préciser le mode de liaison entre le panneau et les autres éléments de structure : liaison du plancher sur les panneaux porteurs, liaison des panneaux sur les fondations, principe de superposition des panneaux, etc. </w:t>
      </w:r>
    </w:p>
    <w:p>
      <w:pPr/>
      <w:r>
        <w:rPr/>
        <w:t xml:space="preserve">-Pour les panneaux non porteurs (si visés) préciser le positionnement (si unique) ou les règles de positionnement des éléments de fixation des panneaux.</w:t>
      </w:r>
    </w:p>
    <w:p>
      <w:pPr/>
      <w:r>
        <w:rPr>
          <w:b/>
          <w:bCs/>
        </w:rPr>
        <w:t xml:space="preserve">Illustration</w:t>
      </w:r>
    </w:p>
    <w:p>
      <w:pPr/>
      <w:r>
        <w:rPr/>
        <w:t xml:space="preserve">-Caractéristiques géométriques des panneaux porteurs et des panneaux non porteurs : vue en élévation et coupes types  (panneaux aveugles) ;</w:t>
      </w:r>
    </w:p>
    <w:p>
      <w:pPr/>
      <w:r>
        <w:rPr/>
        <w:t xml:space="preserve">-Schémas du système de levage utilisé et principe d’incorporation dans les panneaux ; </w:t>
      </w:r>
    </w:p>
    <w:p>
      <w:pPr/>
      <w:r>
        <w:rPr/>
        <w:t xml:space="preserve">-Principe de ferraillage des panneaux porteurs et des panneaux non porteurs (panneaux aveugles);</w:t>
      </w:r>
    </w:p>
    <w:p>
      <w:pPr>
        <w:ind w:left="720" w:right="0"/>
      </w:pPr>
      <w:r>
        <w:rPr>
          <w:rStyle w:val="font_h2"/>
        </w:rPr>
        <w:t xml:space="preserve">3.2. Panneaux avec ouvertures</w:t>
      </w:r>
    </w:p>
    <w:p>
      <w:pPr/>
      <w:r>
        <w:rPr/>
        <w:t xml:space="preserve">Validé par le Groupe Spécialisé le 14/02/2019</w:t>
      </w:r>
    </w:p>
    <w:p>
      <w:pPr/>
      <w:r>
        <w:rPr>
          <w:b/>
          <w:bCs/>
        </w:rPr>
        <w:t xml:space="preserve">Description</w:t>
      </w:r>
    </w:p>
    <w:p>
      <w:pPr/>
      <w:r>
        <w:rPr/>
        <w:t xml:space="preserve">-Préciser les dimensions maximales des ouvertures et le positionnement des ouvertures (distance aux bords)</w:t>
      </w:r>
    </w:p>
    <w:p>
      <w:pPr/>
      <w:r>
        <w:rPr/>
        <w:t xml:space="preserve">-Préciser le traitement de la périphérie des ouvertures.</w:t>
      </w:r>
    </w:p>
    <w:p>
      <w:pPr/>
      <w:r>
        <w:rPr/>
        <w:t xml:space="preserve">-Préciser les principes de positionnement des éléments de levage, positionnement des éléments de liaison entre les deux parois. </w:t>
      </w:r>
    </w:p>
    <w:p>
      <w:pPr/>
      <w:r>
        <w:rPr/>
        <w:t xml:space="preserve">-Pour les panneaux non porteurs (si visés) préciser le positionnement (si unique) ou les règles de positionnement des éléments de fixation des panneaux.</w:t>
      </w:r>
    </w:p>
    <w:p>
      <w:pPr/>
      <w:r>
        <w:rPr>
          <w:b/>
          <w:bCs/>
        </w:rPr>
        <w:t xml:space="preserve">Illustration</w:t>
      </w:r>
    </w:p>
    <w:p>
      <w:pPr/>
      <w:r>
        <w:rPr/>
        <w:t xml:space="preserve">Caractéristiques géométriques des panneaux porteurs et des panneaux non porteurs : vue en élévation et coupes types  (panneaux avec ouvertures) ;</w:t>
      </w:r>
    </w:p>
    <w:p>
      <w:pPr/>
      <w:r>
        <w:rPr/>
        <w:t xml:space="preserve">Schémas du système de levage utilisé et principe d’incorporation dans les panneaux avec ouvertures ;</w:t>
      </w:r>
    </w:p>
    <w:p>
      <w:pPr>
        <w:ind w:left="720" w:right="0"/>
      </w:pPr>
      <w:r>
        <w:rPr>
          <w:rStyle w:val="font_h2"/>
        </w:rPr>
        <w:t xml:space="preserve">3.3. Panneaux d’angle</w:t>
      </w:r>
    </w:p>
    <w:p>
      <w:pPr/>
      <w:r>
        <w:rPr/>
        <w:t xml:space="preserve">Validé par le Groupe Spécialisé le 14/02/2019</w:t>
      </w:r>
    </w:p>
    <w:p>
      <w:pPr/>
      <w:r>
        <w:rPr>
          <w:b/>
          <w:bCs/>
        </w:rPr>
        <w:t xml:space="preserve">Description</w:t>
      </w:r>
    </w:p>
    <w:p>
      <w:pPr/>
      <w:r>
        <w:rPr/>
        <w:t xml:space="preserve">Description du principe de réalisation des angles entrants et sortants et du traitement du cas des panneaux avec retour.</w:t>
      </w:r>
    </w:p>
    <w:p>
      <w:pPr/>
      <w:r>
        <w:rPr>
          <w:b/>
          <w:bCs/>
        </w:rPr>
        <w:t xml:space="preserve">Illustration</w:t>
      </w:r>
    </w:p>
    <w:p>
      <w:pPr/>
      <w:r>
        <w:rPr/>
        <w:t xml:space="preserve">Détail du traitement des différentes configurations d'angle.</w:t>
      </w:r>
    </w:p>
    <w:p>
      <w:pPr>
        <w:ind w:left="720" w:right="0"/>
      </w:pPr>
      <w:r>
        <w:rPr>
          <w:rStyle w:val="font_h2"/>
        </w:rPr>
        <w:t xml:space="preserve">3.4. Panneaux formant acrotère</w:t>
      </w:r>
    </w:p>
    <w:p>
      <w:pPr/>
      <w:r>
        <w:rPr/>
        <w:t xml:space="preserve">Validé par le Groupe Spécialisé le 14/02/2019</w:t>
      </w:r>
    </w:p>
    <w:p>
      <w:pPr/>
      <w:r>
        <w:rPr>
          <w:b/>
          <w:bCs/>
        </w:rPr>
        <w:t xml:space="preserve">Description</w:t>
      </w:r>
    </w:p>
    <w:p>
      <w:pPr/>
      <w:r>
        <w:rPr/>
        <w:t xml:space="preserve">Détailler des dispositions adoptées pour la réalisation des panneaux avec acrotères : ferraillage de l’acrotère, traitement de l’étanchéité et de la tête d’acrotère.</w:t>
      </w:r>
    </w:p>
    <w:p>
      <w:pPr/>
      <w:r>
        <w:rPr>
          <w:b/>
          <w:bCs/>
        </w:rPr>
        <w:t xml:space="preserve">Illustration</w:t>
      </w:r>
    </w:p>
    <w:p>
      <w:pPr/>
      <w:r>
        <w:rPr/>
        <w:t xml:space="preserve">Schémas illustrant le cas d’un panneau formant acrotère et les différentes dispositions constructives décrites dans le dossier technique.</w:t>
      </w:r>
    </w:p>
    <w:p>
      <w:pPr/>
      <w:r>
        <w:rPr>
          <w:rStyle w:val="font_h1"/>
        </w:rPr>
        <w:t xml:space="preserve">4. Dimensionnement</w:t>
      </w:r>
    </w:p>
    <w:p>
      <w:pPr>
        <w:ind w:left="720" w:right="0"/>
      </w:pPr>
      <w:r>
        <w:rPr>
          <w:rStyle w:val="font_h2"/>
        </w:rPr>
        <w:t xml:space="preserve">4.1. Dimensionnement de la paroi extérieure</w:t>
      </w:r>
    </w:p>
    <w:p>
      <w:pPr>
        <w:ind w:left="1440" w:right="0"/>
      </w:pPr>
      <w:r>
        <w:rPr>
          <w:rStyle w:val="font_h3"/>
        </w:rPr>
        <w:t xml:space="preserve">4.1.1. Généralités</w:t>
      </w:r>
    </w:p>
    <w:p>
      <w:pPr/>
      <w:r>
        <w:rPr/>
        <w:t xml:space="preserve">Validé par le Groupe Spécialisé le 14/02/2019</w:t>
      </w:r>
    </w:p>
    <w:p>
      <w:pPr/>
      <w:r>
        <w:rPr>
          <w:b/>
          <w:bCs/>
        </w:rPr>
        <w:t xml:space="preserve">Description</w:t>
      </w:r>
    </w:p>
    <w:p>
      <w:pPr/>
      <w:r>
        <w:rPr/>
        <w:t xml:space="preserve">Détailler les principes de dimensionnement et le mode de fonctionnement de la paroi extérieure vis-à-vis des sollicitations verticales et horizontales (parallèles et perpendiculaires au plan de la paroi).</w:t>
      </w:r>
    </w:p>
    <w:p>
      <w:pPr>
        <w:ind w:left="1440" w:right="0"/>
      </w:pPr>
      <w:r>
        <w:rPr>
          <w:rStyle w:val="font_h3"/>
        </w:rPr>
        <w:t xml:space="preserve">4.1.2. Armatures minimales</w:t>
      </w:r>
    </w:p>
    <w:p>
      <w:pPr/>
      <w:r>
        <w:rPr/>
        <w:t xml:space="preserve">Validé par le Groupe Spécialisé le 14/02/2019</w:t>
      </w:r>
    </w:p>
    <w:p>
      <w:pPr/>
      <w:r>
        <w:rPr>
          <w:b/>
          <w:bCs/>
        </w:rPr>
        <w:t xml:space="preserve">Description</w:t>
      </w:r>
    </w:p>
    <w:p>
      <w:pPr/>
      <w:r>
        <w:rPr/>
        <w:t xml:space="preserve">Préciser les armatures de renforcement minimales, valables quel que soit la position de l‘élément dans l’ouvrage et quel que soit le référentiel qu’y s’applique.Il conviendra d'indiquer la section d’armature minimale (en pourcentage de la section de béton) pour les deux directions principales de la paroi extérieure.</w:t>
      </w:r>
    </w:p>
    <w:p>
      <w:pPr>
        <w:ind w:left="1440" w:right="0"/>
      </w:pPr>
      <w:r>
        <w:rPr>
          <w:rStyle w:val="font_h3"/>
        </w:rPr>
        <w:t xml:space="preserve">4.1.3. Enrobage des armatures</w:t>
      </w:r>
    </w:p>
    <w:p>
      <w:pPr/>
      <w:r>
        <w:rPr/>
        <w:t xml:space="preserve">Validé par le Groupe Spécialisé le 14/02/2019</w:t>
      </w:r>
    </w:p>
    <w:p>
      <w:pPr/>
      <w:r>
        <w:rPr>
          <w:b/>
          <w:bCs/>
        </w:rPr>
        <w:t xml:space="preserve">Description</w:t>
      </w:r>
    </w:p>
    <w:p>
      <w:pPr/>
      <w:r>
        <w:rPr/>
        <w:t xml:space="preserve">Préciser l'enrobage des armatures dans la paroi extérieure. </w:t>
      </w:r>
    </w:p>
    <w:p>
      <w:pPr/>
      <w:r>
        <w:rPr/>
        <w:t xml:space="preserve">L’enrobage des armatures doit respecter les prescriptions définies dans la section 4 de la NF EN 1992-1-1 et son Annexe nationale NF EN 1992-1-1/NA, et le fascicule FD P 18-717 vis-à-vis des conditions d’adhérence et d’environnement.  </w:t>
      </w:r>
    </w:p>
    <w:p>
      <w:pPr/>
      <w:r>
        <w:rPr>
          <w:b/>
          <w:bCs/>
        </w:rPr>
        <w:t xml:space="preserve">Jurisprudence du GS3.2</w:t>
      </w:r>
      <w:r>
        <w:rPr/>
        <w:t xml:space="preserve"> </w:t>
      </w:r>
    </w:p>
    <w:p>
      <w:pPr/>
      <w:r>
        <w:rPr/>
        <w:t xml:space="preserve">Pour la détermination de l’enrobage des armatures de la paroi extérieure côté isolant, il convient de considérer un enrobage minimal des armatures correspondant à celui de la classe d’exposition du parement exposé moins 5 mm, sans descendre en dessous de celui de la classe d’exposition XC3.Coté extérieur, étant donné qu’il s’agit des éléments de façade, la classe d’exposition minimale à utiliser est la classe XC4.</w:t>
      </w:r>
    </w:p>
    <w:p>
      <w:pPr>
        <w:ind w:left="1440" w:right="0"/>
      </w:pPr>
      <w:r>
        <w:rPr>
          <w:rStyle w:val="font_h3"/>
        </w:rPr>
        <w:t xml:space="preserve">4.1.4. Epaisseur de la paroi extérieure.</w:t>
      </w:r>
    </w:p>
    <w:p>
      <w:pPr/>
      <w:r>
        <w:rPr/>
        <w:t xml:space="preserve">Validé par le Groupe Spécialisé le 14/02/2019</w:t>
      </w:r>
    </w:p>
    <w:p>
      <w:pPr/>
      <w:r>
        <w:rPr>
          <w:b/>
          <w:bCs/>
        </w:rPr>
        <w:t xml:space="preserve">Description</w:t>
      </w:r>
    </w:p>
    <w:p>
      <w:pPr/>
      <w:r>
        <w:rPr/>
        <w:t xml:space="preserve">Présentation de la méthodologie de calcul permettant de déterminer l’épaisseur de la paroi extérieure minimale en fonction de la classe d’exposition visée, de l’encombrement des armatures et des inserts dans la paroi et des tolérances de fabrication (enrobage des aciers et épaisseur de la paroi). </w:t>
      </w:r>
    </w:p>
    <w:p>
      <w:pPr/>
      <w:r>
        <w:rPr>
          <w:b/>
          <w:bCs/>
        </w:rPr>
        <w:t xml:space="preserve">Jurisprudence GS3.2</w:t>
      </w:r>
      <w:r>
        <w:rPr/>
        <w:t xml:space="preserve"> </w:t>
      </w:r>
    </w:p>
    <w:p>
      <w:pPr/>
      <w:r>
        <w:rPr/>
        <w:t xml:space="preserve">En absence d’une procédure de certification de la fabrication du panneau sandwich de type NF, les tolérances à utiliser pour le calcul de l’épaisseur de la paroi extérieure seront par défaut celles de la classe B au sens de la norme NF EN 14992 et les tolérances sur l’enrobage des armatures seront fixées à +/- 5 mm.</w:t>
      </w:r>
    </w:p>
    <w:p>
      <w:pPr/>
      <w:r>
        <w:rPr>
          <w:b/>
          <w:bCs/>
        </w:rPr>
        <w:t xml:space="preserve">Justification</w:t>
      </w:r>
    </w:p>
    <w:p>
      <w:pPr/>
      <w:r>
        <w:rPr/>
        <w:t xml:space="preserve">Note de calcul permettant de justifier de l’épaisseur minimale de la paroi extérieure en fonction de la classe d’exposition visée (critère d’enrobage), de l’encombrement des armatures et des inserts dans la paroi (ancrage des systèmes de liaison, ...) et des tolérances de fabrication (enrobage des aciers et épaisseur de la paroi).</w:t>
      </w:r>
    </w:p>
    <w:p>
      <w:pPr>
        <w:ind w:left="1440" w:right="0"/>
      </w:pPr>
      <w:r>
        <w:rPr>
          <w:rStyle w:val="font_h3"/>
        </w:rPr>
        <w:t xml:space="preserve">4.1.5. Dimensionnement de la largeur des joints entre parois.</w:t>
      </w:r>
    </w:p>
    <w:p>
      <w:pPr/>
      <w:r>
        <w:rPr/>
        <w:t xml:space="preserve">Validé par le Groupe Spécialisé le 14/02/2019</w:t>
      </w:r>
    </w:p>
    <w:p>
      <w:pPr/>
      <w:r>
        <w:rPr>
          <w:b/>
          <w:bCs/>
        </w:rPr>
        <w:t xml:space="preserve">Description</w:t>
      </w:r>
    </w:p>
    <w:p>
      <w:pPr/>
      <w:r>
        <w:rPr/>
        <w:t xml:space="preserve">Préciser les largeurs minimales des joints verticaux et horizontaux entre panneaux. </w:t>
      </w:r>
    </w:p>
    <w:p>
      <w:pPr/>
      <w:r>
        <w:rPr/>
        <w:t xml:space="preserve">La méthode de calcul de largeur de joints verticaux et horizontaux pour la paroi extérieure devra être décrite.</w:t>
      </w:r>
    </w:p>
    <w:p>
      <w:pPr/>
      <w:r>
        <w:rPr>
          <w:b/>
          <w:bCs/>
        </w:rPr>
        <w:t xml:space="preserve">Jurisprudence du GS3.2</w:t>
      </w:r>
    </w:p>
    <w:p>
      <w:pPr/>
      <w:r>
        <w:rPr/>
        <w:t xml:space="preserve">La largeur des joints devra respecter la règle suivante :uj≤max {α.ΔT.Lmax+Δpose+Δfabrication ; 2usis+Δpose+Δfabrication }Avec α=1.10-5 °C^(-1) (coefficient de dilatation thermique du béton), ∆T=50 °C (variation de température), Lmax  la distance entre deux pôles de dilatation de panneaux encadrant un joint, usis le déplacement du panneau extérieur sous sollicitation sismique, Δpose les tolérances de mise en œuvre prise égale à 5 mm et Δfabrication les tolérances de fabrication. Dans le cas d’un panneau sandwich qui ne fait pas l’objet d’une certification par un organisme externe de type NF, les tolérances de fabrication à utiliser par défaut sont celles de la NF EN 14992 (classe B).</w:t>
      </w:r>
    </w:p>
    <w:p>
      <w:pPr/>
      <w:r>
        <w:rPr>
          <w:b/>
          <w:bCs/>
        </w:rPr>
        <w:t xml:space="preserve">Justification</w:t>
      </w:r>
    </w:p>
    <w:p>
      <w:pPr/>
      <w:r>
        <w:rPr/>
        <w:t xml:space="preserve">Exemple de note de calcul de la largeur du joint entre panneaux pour une configuration représentative du domaine d'emploi visé.</w:t>
      </w:r>
    </w:p>
    <w:p>
      <w:pPr>
        <w:ind w:left="720" w:right="0"/>
      </w:pPr>
      <w:r>
        <w:rPr>
          <w:rStyle w:val="font_h2"/>
        </w:rPr>
        <w:t xml:space="preserve">4.2. Dimensionnement des organes de liaison entre les deux voiles</w:t>
      </w:r>
    </w:p>
    <w:p>
      <w:pPr>
        <w:ind w:left="1440" w:right="0"/>
      </w:pPr>
      <w:r>
        <w:rPr>
          <w:rStyle w:val="font_h3"/>
        </w:rPr>
        <w:t xml:space="preserve">4.2.1. Généralités</w:t>
      </w:r>
    </w:p>
    <w:p>
      <w:pPr/>
      <w:r>
        <w:rPr/>
        <w:t xml:space="preserve">Validé par le Groupe Spécialisé le 14/02/2019</w:t>
      </w:r>
    </w:p>
    <w:p>
      <w:pPr/>
      <w:r>
        <w:rPr>
          <w:b/>
          <w:bCs/>
        </w:rPr>
        <w:t xml:space="preserve">Description</w:t>
      </w:r>
    </w:p>
    <w:p>
      <w:pPr/>
      <w:r>
        <w:rPr/>
        <w:t xml:space="preserve">Préciser les principes de dimensionnement du système de liaison (mode fonctionnement de chaque élément composant le système de liaison, etc.)</w:t>
      </w:r>
    </w:p>
    <w:p>
      <w:pPr>
        <w:ind w:left="1440" w:right="0"/>
      </w:pPr>
      <w:r>
        <w:rPr>
          <w:rStyle w:val="font_h3"/>
        </w:rPr>
        <w:t xml:space="preserve">4.2.2. Dimensionnement</w:t>
      </w:r>
    </w:p>
    <w:p>
      <w:pPr>
        <w:ind w:left="2160" w:right="0"/>
      </w:pPr>
      <w:r>
        <w:rPr>
          <w:rStyle w:val="font_h3"/>
        </w:rPr>
        <w:t xml:space="preserve">4.2.2.1. Vérification du système de liaison à l’ELU en situation normale</w:t>
      </w:r>
    </w:p>
    <w:p>
      <w:pPr/>
      <w:r>
        <w:rPr/>
        <w:t xml:space="preserve">Validé par le Groupe Spécialisé le 14/02/2019</w:t>
      </w:r>
    </w:p>
    <w:p>
      <w:pPr/>
      <w:r>
        <w:rPr>
          <w:b/>
          <w:bCs/>
        </w:rPr>
        <w:t xml:space="preserve">Description</w:t>
      </w:r>
    </w:p>
    <w:p>
      <w:pPr/>
      <w:r>
        <w:rPr/>
        <w:t xml:space="preserve">Détailler les conditions de dimensionnement du système de liaison à l’ELU en situation normale.</w:t>
      </w:r>
    </w:p>
    <w:p>
      <w:pPr/>
      <w:r>
        <w:rPr>
          <w:b/>
          <w:bCs/>
        </w:rPr>
        <w:t xml:space="preserve">Justification</w:t>
      </w:r>
    </w:p>
    <w:p>
      <w:pPr/>
      <w:r>
        <w:rPr/>
        <w:t xml:space="preserve">Un exemple de dimensionnement du système de liaison à l’ELU en situation normale et pour un cas enveloppe est attendu. </w:t>
      </w:r>
    </w:p>
    <w:p>
      <w:pPr/>
      <w:r>
        <w:rPr/>
        <w:t xml:space="preserve">Hypothèses : Longueur maximale de mur, ΔT = 50 °C.</w:t>
      </w:r>
    </w:p>
    <w:p>
      <w:pPr>
        <w:ind w:left="2160" w:right="0"/>
      </w:pPr>
      <w:r>
        <w:rPr>
          <w:rStyle w:val="font_h3"/>
        </w:rPr>
        <w:t xml:space="preserve">4.2.2.2. Vérification du système de liaison à l’ELU en situation sismique</w:t>
      </w:r>
    </w:p>
    <w:p>
      <w:pPr/>
      <w:r>
        <w:rPr/>
        <w:t xml:space="preserve">Validé par le Groupe Spécialisé le 14/02/2019</w:t>
      </w:r>
    </w:p>
    <w:p>
      <w:pPr/>
      <w:r>
        <w:rPr>
          <w:b/>
          <w:bCs/>
        </w:rPr>
        <w:t xml:space="preserve">Description</w:t>
      </w:r>
    </w:p>
    <w:p>
      <w:pPr/>
      <w:r>
        <w:rPr/>
        <w:t xml:space="preserve">Détailler les conditions de dimensionnement du système de liaison à l’ELU en situation sismique. </w:t>
      </w:r>
    </w:p>
    <w:p>
      <w:pPr/>
      <w:r>
        <w:rPr>
          <w:b/>
          <w:bCs/>
        </w:rPr>
        <w:t xml:space="preserve">Jurisprudence du GS3.2</w:t>
      </w:r>
      <w:r>
        <w:rPr/>
        <w:t xml:space="preserve"> </w:t>
      </w:r>
    </w:p>
    <w:p>
      <w:pPr/>
      <w:r>
        <w:rPr/>
        <w:t xml:space="preserve">L’effort sismique que génère la peau librement dilatable est calculé suivant l’Article 4.3.5 de la NF EN 1998-1 et son Annexe nationale française avec un coefficient qa pris égal à 1 (à défaut de justifications spécifiques).</w:t>
      </w:r>
    </w:p>
    <w:p>
      <w:pPr/>
      <w:r>
        <w:rPr/>
        <w:t xml:space="preserve">Détermination des performances mécaniques en situation sismique (évolution jurisprudence GS3.2 - Septembre 2017)</w:t>
      </w:r>
    </w:p>
    <w:p>
      <w:pPr/>
      <w:r>
        <w:rPr/>
        <w:t xml:space="preserve">En l’absence d’essais cycliques sur les dispositifs de liaison, il convient d’adopter la formule de calcul des capacités résistantes en situation sismique suivante: RRd,sis=0.4.Rrk,stat/ γmatériau,sis.</w:t>
      </w:r>
    </w:p>
    <w:p>
      <w:pPr/>
      <w:r>
        <w:rPr>
          <w:b/>
          <w:bCs/>
        </w:rPr>
        <w:t xml:space="preserve">Justification</w:t>
      </w:r>
    </w:p>
    <w:p>
      <w:pPr/>
      <w:r>
        <w:rPr/>
        <w:t xml:space="preserve">Un exemple de dimensionnement du système de liaison à l’ELU en situation sismique pour un cas enveloppe est attendu. </w:t>
      </w:r>
    </w:p>
    <w:p>
      <w:pPr/>
      <w:r>
        <w:rPr/>
        <w:t xml:space="preserve">Hypothèses: Longueur maximale de mur avec ouverture, zone de sismicité 4 ou 5, classe de bâtiment III ou IV, catégorie de sol E.</w:t>
      </w:r>
    </w:p>
    <w:p>
      <w:pPr>
        <w:ind w:left="2160" w:right="0"/>
      </w:pPr>
      <w:r>
        <w:rPr>
          <w:rStyle w:val="font_h3"/>
        </w:rPr>
        <w:t xml:space="preserve">4.2.2.3. Vérification du Non-entrechoquement des parois</w:t>
      </w:r>
    </w:p>
    <w:p>
      <w:pPr/>
      <w:r>
        <w:rPr/>
        <w:t xml:space="preserve">Validé par le Groupe Spécialisé le 14/02/2019</w:t>
      </w:r>
    </w:p>
    <w:p>
      <w:pPr/>
      <w:r>
        <w:rPr>
          <w:b/>
          <w:bCs/>
        </w:rPr>
        <w:t xml:space="preserve">Description</w:t>
      </w:r>
    </w:p>
    <w:p>
      <w:pPr/>
      <w:r>
        <w:rPr/>
        <w:t xml:space="preserve">Détailler la méthodologie de calcul de l’épaisseur minimale des joints entre panneaux avec prise en compte des efforts sollicitant la paroi extérieure (dilatation thermique, effort sismique, etc.) ainsi que les tolérances de pose et de fabrication afin d’éviter les risques d’entrechoquement entre deux parois adjacentes.</w:t>
      </w:r>
    </w:p>
    <w:p>
      <w:pPr/>
      <w:r>
        <w:rPr>
          <w:b/>
          <w:bCs/>
        </w:rPr>
        <w:t xml:space="preserve">Justification</w:t>
      </w:r>
    </w:p>
    <w:p>
      <w:pPr/>
      <w:r>
        <w:rPr/>
        <w:t xml:space="preserve">Un exemple de calcul pour un cas enveloppe est attendu.</w:t>
      </w:r>
    </w:p>
    <w:p>
      <w:pPr>
        <w:ind w:left="720" w:right="0"/>
      </w:pPr>
      <w:r>
        <w:rPr>
          <w:rStyle w:val="font_h2"/>
        </w:rPr>
        <w:t xml:space="preserve">4.3. Dimensionnement de la paroi intérieure</w:t>
      </w:r>
    </w:p>
    <w:p>
      <w:pPr>
        <w:ind w:left="1440" w:right="0"/>
      </w:pPr>
      <w:r>
        <w:rPr>
          <w:rStyle w:val="font_h3"/>
        </w:rPr>
        <w:t xml:space="preserve">4.3.1. Cas des murs non porteurs</w:t>
      </w:r>
    </w:p>
    <w:p>
      <w:pPr>
        <w:ind w:left="2160" w:right="0"/>
      </w:pPr>
      <w:r>
        <w:rPr>
          <w:rStyle w:val="font_h3"/>
        </w:rPr>
        <w:t xml:space="preserve">4.3.1.1. Dimensionnement des panneaux</w:t>
      </w:r>
    </w:p>
    <w:p>
      <w:pPr/>
      <w:r>
        <w:rPr/>
        <w:t xml:space="preserve">Validé par le Groupe Spécialisé le 14/02/2019</w:t>
      </w:r>
    </w:p>
    <w:p>
      <w:pPr/>
      <w:r>
        <w:rPr>
          <w:b/>
          <w:bCs/>
        </w:rPr>
        <w:t xml:space="preserve">Description</w:t>
      </w:r>
    </w:p>
    <w:p>
      <w:pPr/>
      <w:r>
        <w:rPr/>
        <w:t xml:space="preserve">Présenter le principe de calcul des sollicitations dans le panneau et détailler le principe de dimensionnement de la paroi intérieure des panneaux.</w:t>
      </w:r>
    </w:p>
    <w:p>
      <w:pPr/>
      <w:r>
        <w:rPr>
          <w:b/>
          <w:bCs/>
        </w:rPr>
        <w:t xml:space="preserve">Justification</w:t>
      </w:r>
    </w:p>
    <w:p>
      <w:pPr/>
      <w:r>
        <w:rPr/>
        <w:t xml:space="preserve">Une note de calcul de dimensionnement du panneau non porteur pour un cas enveloppe du domaine d’emploi est à présenter.</w:t>
      </w:r>
    </w:p>
    <w:p>
      <w:pPr>
        <w:ind w:left="2160" w:right="0"/>
      </w:pPr>
      <w:r>
        <w:rPr>
          <w:rStyle w:val="font_h3"/>
        </w:rPr>
        <w:t xml:space="preserve">4.3.1.2. Dimensionnement des fixations à l’ossature support</w:t>
      </w:r>
    </w:p>
    <w:p>
      <w:pPr/>
      <w:r>
        <w:rPr/>
        <w:t xml:space="preserve">Validé par le Groupe Spécialisé le 14/02/2019</w:t>
      </w:r>
    </w:p>
    <w:p>
      <w:pPr/>
      <w:r>
        <w:rPr>
          <w:b/>
          <w:bCs/>
        </w:rPr>
        <w:t xml:space="preserve">Description</w:t>
      </w:r>
    </w:p>
    <w:p>
      <w:pPr/>
      <w:r>
        <w:rPr/>
        <w:t xml:space="preserve">Détailler le principe de calcul des sollicitations dans les fixations (répartition des efforts) et le principe de dimensionnement des fixations (détermination de la capacité résistante des fixations). </w:t>
      </w:r>
    </w:p>
    <w:p>
      <w:pPr/>
      <w:r>
        <w:rPr/>
        <w:t xml:space="preserve">Détailler les dispositions spécifiques prises en cas d’exigence sismique (absence de mise en charge des panneaux par la déformation de la structure, non entrechoquement des parois extérieures, …).</w:t>
      </w:r>
    </w:p>
    <w:p>
      <w:pPr/>
      <w:r>
        <w:rPr>
          <w:b/>
          <w:bCs/>
        </w:rPr>
        <w:t xml:space="preserve">Justification</w:t>
      </w:r>
    </w:p>
    <w:p>
      <w:pPr/>
      <w:r>
        <w:rPr/>
        <w:t xml:space="preserve">-Justifier par caractérisation expérimentale (sous chargement statique et dynamique) les valeurs de résistance de calcul nécessaires pour le dimensionnement des fixations à l’ossature selon leur mode de fonctionnement (en traction, en cisaillement, etc.) en tenant compte des conditions d'ancrage et de positionnement.  </w:t>
      </w:r>
    </w:p>
    <w:p>
      <w:pPr/>
      <w:r>
        <w:rPr/>
        <w:t xml:space="preserve">-Transmettre un exemple de note de calcul du dimensionnement des fixations d'un panneau non porteur pour une configuration représentative du domaine d'emploi visé (avec justification de la compatibilité des déformations entre les panneaux et la structure support).</w:t>
      </w:r>
    </w:p>
    <w:p>
      <w:pPr/>
      <w:r>
        <w:rPr>
          <w:b/>
          <w:bCs/>
        </w:rPr>
        <w:t xml:space="preserve">Jurisprudence du GS3.2</w:t>
      </w:r>
      <w:r>
        <w:rPr/>
        <w:t xml:space="preserve"> </w:t>
      </w:r>
    </w:p>
    <w:p>
      <w:pPr/>
      <w:r>
        <w:rPr/>
        <w:t xml:space="preserve">Les fixations des panneaux non porteurs à l’ossature devront être couvertes par une Evaluation TechniqueEuropéenne (ETE). Elles doivent être dimensionnées sur la base des caractéristiques mécaniques résistantes indiquées dans les ETE dont elles relèvent.A défaut d’essais dynamiques sur les systèmes de fixation, le dimensionnement doit être effectué en déduisant la charge résistante de calcul de la charge de calcul statique déterminée selon les ETE dontils relèvent par application à cette dernière d’un coefficient au moins égal à 2,5.</w:t>
      </w:r>
    </w:p>
    <w:p>
      <w:pPr>
        <w:ind w:left="1440" w:right="0"/>
      </w:pPr>
      <w:r>
        <w:rPr>
          <w:rStyle w:val="font_h3"/>
        </w:rPr>
        <w:t xml:space="preserve">4.3.2. Cas des murs porteurs</w:t>
      </w:r>
    </w:p>
    <w:p>
      <w:pPr>
        <w:ind w:left="2160" w:right="0"/>
      </w:pPr>
      <w:r>
        <w:rPr>
          <w:rStyle w:val="font_h3"/>
        </w:rPr>
        <w:t xml:space="preserve">4.3.2.1. Généralités</w:t>
      </w:r>
    </w:p>
    <w:p>
      <w:pPr/>
      <w:r>
        <w:rPr/>
        <w:t xml:space="preserve">Validé par le Groupe Spécialisé le 14/02/2019</w:t>
      </w:r>
    </w:p>
    <w:p>
      <w:pPr/>
      <w:r>
        <w:rPr>
          <w:b/>
          <w:bCs/>
        </w:rPr>
        <w:t xml:space="preserve">Description</w:t>
      </w:r>
    </w:p>
    <w:p>
      <w:pPr/>
      <w:r>
        <w:rPr/>
        <w:t xml:space="preserve">Description de la conception des panneaux : hypothèses de dimensionnement, conditions aux limites (rotulés en pied, encastrés, etc.), normes de dimensionnements, principe de ferraillage des parois, conditions de clavetage entre panneaux. </w:t>
      </w:r>
    </w:p>
    <w:p>
      <w:pPr/>
      <w:r>
        <w:rPr/>
        <w:t xml:space="preserve">Préciser l’entité en charge du dimensionnement de la paroi intérieure des murs porteurs. Indiquer quels sont les éléments qui sont transmis par le Bureau d’études du chantier lui permettant de réaliser le dimensionnement du procédé de panneau sandwich.</w:t>
      </w:r>
    </w:p>
    <w:p>
      <w:pPr>
        <w:ind w:left="2160" w:right="0"/>
      </w:pPr>
      <w:r>
        <w:rPr>
          <w:rStyle w:val="font_h3"/>
        </w:rPr>
        <w:t xml:space="preserve">4.3.2.2. Position des joints</w:t>
      </w:r>
    </w:p>
    <w:p>
      <w:pPr/>
      <w:r>
        <w:rPr/>
        <w:t xml:space="preserve">Validé par le Groupe Spécialisé le 14/02/2019</w:t>
      </w:r>
    </w:p>
    <w:p>
      <w:pPr/>
      <w:r>
        <w:rPr>
          <w:b/>
          <w:bCs/>
        </w:rPr>
        <w:t xml:space="preserve">Description</w:t>
      </w:r>
    </w:p>
    <w:p>
      <w:pPr/>
      <w:r>
        <w:rPr/>
        <w:t xml:space="preserve">Détailler le principe de positionnement des joints entre panneaux en fonction des appuis (planchers, refends) et de l'orientation des panneaux (pose verticale, pose horizontale).</w:t>
      </w:r>
    </w:p>
    <w:p>
      <w:pPr>
        <w:ind w:left="2160" w:right="0"/>
      </w:pPr>
      <w:r>
        <w:rPr>
          <w:rStyle w:val="font_h3"/>
        </w:rPr>
        <w:t xml:space="preserve">4.3.2.3. Conditions de liaison</w:t>
      </w:r>
    </w:p>
    <w:p>
      <w:pPr/>
      <w:r>
        <w:rPr/>
        <w:t xml:space="preserve">Validé par le Groupe Spécialisé le 14/02/2019</w:t>
      </w:r>
    </w:p>
    <w:p>
      <w:pPr/>
      <w:r>
        <w:rPr>
          <w:b/>
          <w:bCs/>
        </w:rPr>
        <w:t xml:space="preserve">Description</w:t>
      </w:r>
    </w:p>
    <w:p>
      <w:pPr/>
      <w:r>
        <w:rPr/>
        <w:t xml:space="preserve">-Préciser les principes de dimensionnement des liaisons entre panneaux (clavetages) et des liaisons entre panneaux et les autres éléments de structure de l’ouvrage (fondations, planchers).</w:t>
      </w:r>
    </w:p>
    <w:p>
      <w:pPr>
        <w:ind w:left="2160" w:right="0"/>
      </w:pPr>
      <w:r>
        <w:rPr>
          <w:rStyle w:val="font_h3"/>
        </w:rPr>
        <w:t xml:space="preserve">4.3.2.4. Conditions particulières pour les panneaux participant au contreventement</w:t>
      </w:r>
    </w:p>
    <w:p>
      <w:pPr/>
      <w:r>
        <w:rPr/>
        <w:t xml:space="preserve">Validé par le Groupe Spécialisé le 14/02/2019</w:t>
      </w:r>
    </w:p>
    <w:p>
      <w:pPr/>
      <w:r>
        <w:rPr>
          <w:b/>
          <w:bCs/>
        </w:rPr>
        <w:t xml:space="preserve">Description</w:t>
      </w:r>
    </w:p>
    <w:p>
      <w:pPr/>
      <w:r>
        <w:rPr/>
        <w:t xml:space="preserve">Détailler le principe de fonctionnement mécanique des panneaux participant au contreventement : conditions de transmission des efforts horizontaux de contreventement dans les panneaux (formation de bielles de compression, participation des chainages horizontaux et verticaux, etc.) et méthode de dimensionnement des murs porteurs constitués de plusieurs panneaux sandwichs. </w:t>
      </w:r>
    </w:p>
    <w:p>
      <w:pPr/>
      <w:r>
        <w:rPr>
          <w:b/>
          <w:bCs/>
        </w:rPr>
        <w:t xml:space="preserve">Jurisprudence GS3.2</w:t>
      </w:r>
      <w:br/>
      <w:r>
        <w:rPr/>
        <w:t xml:space="preserve">Principe de transmission des efforts de contreventement:Les efforts horizontaux de contreventement transitent directement au travers des clavetages verticaux continus (clavetage vertical entre panneaux) ou ponctuels (clavetage en béton armé intermédiaire) avec transmission d’une bielle de compression dans les panneaux (développées entre les zones de clavetage verticaux). L’inclinaison des bielles de compression est comprise entre 26.5° (inclinaison correspondant à un rapport de 2 entre la hauteur et la distance entre deux clavetages verticaux) et 45°.</w:t>
      </w:r>
    </w:p>
    <w:p>
      <w:pPr/>
      <w:r>
        <w:rPr>
          <w:b/>
          <w:bCs/>
        </w:rPr>
        <w:t xml:space="preserve">Illustration</w:t>
      </w:r>
    </w:p>
    <w:p>
      <w:pPr/>
      <w:r>
        <w:rPr/>
        <w:t xml:space="preserve">Rajouter des schémas de principe comportant :</w:t>
      </w:r>
    </w:p>
    <w:p>
      <w:pPr/>
      <w:r>
        <w:rPr/>
        <w:t xml:space="preserve">-une coupe horizontale du mur constitué de panneaux avec identification des clavetages verticaux continus ou ponctuels (ces clavetages verticaux doivent être situés aux extrémités des bielles de compression développées dans le mur). </w:t>
      </w:r>
    </w:p>
    <w:p>
      <w:pPr/>
      <w:r>
        <w:rPr/>
        <w:t xml:space="preserve">-l’angle d’inclinaison des bielles de compression développées dans le mur. Cet angle devra être compris entre 26.5°(inclinaison correspondant à un rapport de 2 entre la hauteur et la distance entre deux clavetages verticaux) et 45°.</w:t>
      </w:r>
    </w:p>
    <w:p>
      <w:pPr>
        <w:ind w:left="720" w:right="0"/>
      </w:pPr>
      <w:r>
        <w:rPr>
          <w:rStyle w:val="font_h2"/>
        </w:rPr>
        <w:t xml:space="preserve">4.4. Dispositions parasismiques</w:t>
      </w:r>
    </w:p>
    <w:p>
      <w:pPr>
        <w:ind w:left="1440" w:right="0"/>
      </w:pPr>
      <w:r>
        <w:rPr>
          <w:rStyle w:val="font_h3"/>
        </w:rPr>
        <w:t xml:space="preserve">4.4.1. Dispositions parasismiques pour les panneaux porteurs</w:t>
      </w:r>
    </w:p>
    <w:p>
      <w:pPr/>
      <w:r>
        <w:rPr/>
        <w:t xml:space="preserve">Validé par le Groupe Spécialisé le 14/02/2019</w:t>
      </w:r>
    </w:p>
    <w:p>
      <w:pPr/>
      <w:r>
        <w:rPr>
          <w:b/>
          <w:bCs/>
        </w:rPr>
        <w:t xml:space="preserve">Description</w:t>
      </w:r>
    </w:p>
    <w:p>
      <w:pPr/>
      <w:r>
        <w:rPr/>
        <w:t xml:space="preserve">-Détailler les dispositions spécifiques prises en cas d’exigence sismique (renforcement, ferraillage, joints de désolidarisation, traitement des jonctions verticales et horizontales entre panneaux, crantage des joints,...). </w:t>
      </w:r>
    </w:p>
    <w:p>
      <w:pPr/>
      <w:r>
        <w:rPr/>
        <w:t xml:space="preserve">-Détailler la méthode de calcul pour le dimensionnement des joints entre panneaux sous sollicitations sismiques. </w:t>
      </w:r>
    </w:p>
    <w:p>
      <w:pPr/>
      <w:r>
        <w:rPr>
          <w:b/>
          <w:bCs/>
        </w:rPr>
        <w:t xml:space="preserve">Jurisprudence du GS3.2</w:t>
      </w:r>
      <w:r>
        <w:rPr/>
        <w:t xml:space="preserve"> </w:t>
      </w:r>
    </w:p>
    <w:p>
      <w:pPr/>
      <w:r>
        <w:rPr/>
        <w:t xml:space="preserve">La vérification du cisaillement à la jonction des panneaux/plancher (joint horizontal entre deux panneaux superposés) doit être réalisée en prenant en compte les aciers d’un tirant vertical sur deux (celui comprimé) conformément aux prescriptions du §6.2.5 de la NF EN 1992-1-1 et son AN et du §5.4.3.5.2 (4) de la NF EN 1998-1 et son AN.</w:t>
      </w:r>
    </w:p>
    <w:p>
      <w:pPr/>
      <w:r>
        <w:rPr>
          <w:b/>
          <w:bCs/>
        </w:rPr>
        <w:t xml:space="preserve">Justification</w:t>
      </w:r>
    </w:p>
    <w:p>
      <w:pPr/>
      <w:r>
        <w:rPr/>
        <w:t xml:space="preserve">Note de calcul du dimensionnement des joints entre panneaux en situation sismique sur un ouvrage représentatif du domaine d’emploi visé.</w:t>
      </w:r>
    </w:p>
    <w:p>
      <w:pPr/>
      <w:r>
        <w:rPr>
          <w:b/>
          <w:bCs/>
        </w:rPr>
        <w:t xml:space="preserve">Illustration</w:t>
      </w:r>
    </w:p>
    <w:p>
      <w:pPr/>
      <w:r>
        <w:rPr/>
        <w:t xml:space="preserve">Détail des dispositions constructives adoptées en situation sismique (jonctions verticales et horizontales entre panneaux).</w:t>
      </w:r>
    </w:p>
    <w:p>
      <w:pPr>
        <w:ind w:left="1440" w:right="0"/>
      </w:pPr>
      <w:r>
        <w:rPr>
          <w:rStyle w:val="font_h3"/>
        </w:rPr>
        <w:t xml:space="preserve">4.4.2. Dispositions parasismiques pour les panneaux non porteurs</w:t>
      </w:r>
    </w:p>
    <w:p>
      <w:pPr/>
      <w:r>
        <w:rPr/>
        <w:t xml:space="preserve">Validé par le Groupe Spécialisé le 14/02/2019</w:t>
      </w:r>
    </w:p>
    <w:p>
      <w:pPr/>
      <w:r>
        <w:rPr>
          <w:b/>
          <w:bCs/>
        </w:rPr>
        <w:t xml:space="preserve">Description</w:t>
      </w:r>
    </w:p>
    <w:p>
      <w:pPr/>
      <w:r>
        <w:rPr/>
        <w:t xml:space="preserve">Détailler les dispositions parasismiques à adopter pour les panneaux non porteurs en situation sismique (absence de mise en charge des panneaux par la déformation de la structure, non entrechoquement des parois extérieures, …). </w:t>
      </w:r>
    </w:p>
    <w:p>
      <w:pPr/>
      <w:r>
        <w:rPr/>
        <w:t xml:space="preserve">Détailler la méthode de dimensionnement des panneaux non porteurs et de leur fixation en situation sismique. </w:t>
      </w:r>
    </w:p>
    <w:p>
      <w:pPr/>
      <w:r>
        <w:rPr/>
        <w:t xml:space="preserve">Dans le cas de panneaux non porteurs ou ne participant pas à la stabilité d’ensemble du bâtiment, ces éléments sont considérés non structuraux conformément à l’article 4.3.5 – EC8. Un coefficient de comportement qa égal à 1 est retenu à défaut de justifications spécifiques.</w:t>
      </w:r>
    </w:p>
    <w:p>
      <w:pPr/>
      <w:r>
        <w:rPr>
          <w:b/>
          <w:bCs/>
        </w:rPr>
        <w:t xml:space="preserve">Justification</w:t>
      </w:r>
    </w:p>
    <w:p>
      <w:pPr/>
      <w:r>
        <w:rPr/>
        <w:t xml:space="preserve">Justification expérimentale des performances mécaniques des systèmes de fixation sous chargement dynamique.</w:t>
      </w:r>
    </w:p>
    <w:p>
      <w:pPr/>
      <w:r>
        <w:rPr>
          <w:b/>
          <w:bCs/>
        </w:rPr>
        <w:t xml:space="preserve">Illustration</w:t>
      </w:r>
    </w:p>
    <w:p>
      <w:pPr/>
      <w:r>
        <w:rPr/>
        <w:t xml:space="preserve">Détail des principes de fixation des panneaux non porteurs en situation sismique.</w:t>
      </w:r>
    </w:p>
    <w:p>
      <w:pPr/>
      <w:r>
        <w:rPr>
          <w:rStyle w:val="font_h1"/>
        </w:rPr>
        <w:t xml:space="preserve">5. Sécurité au feu</w:t>
      </w:r>
    </w:p>
    <w:p>
      <w:pPr>
        <w:ind w:left="720" w:right="0"/>
      </w:pPr>
      <w:r>
        <w:rPr>
          <w:rStyle w:val="font_h2"/>
        </w:rPr>
        <w:t xml:space="preserve">5.1. Réaction au feu</w:t>
      </w:r>
    </w:p>
    <w:p>
      <w:pPr>
        <w:ind w:left="720" w:right="0"/>
      </w:pPr>
      <w:r>
        <w:rPr>
          <w:rStyle w:val="font_h2"/>
        </w:rPr>
        <w:t xml:space="preserve">5.2. Résistance au feu</w:t>
      </w:r>
    </w:p>
    <w:p>
      <w:pPr>
        <w:ind w:left="1440" w:right="0"/>
      </w:pPr>
      <w:r>
        <w:rPr>
          <w:rStyle w:val="font_h3"/>
        </w:rPr>
        <w:t xml:space="preserve">5.2.1. Généralités</w:t>
      </w:r>
    </w:p>
    <w:p>
      <w:pPr/>
      <w:r>
        <w:rPr/>
        <w:t xml:space="preserve">Validé par le Groupe Spécialisé le 09/02/2021</w:t>
      </w:r>
    </w:p>
    <w:p>
      <w:pPr/>
      <w:r>
        <w:rPr>
          <w:b/>
          <w:bCs/>
        </w:rPr>
        <w:t xml:space="preserve">Description</w:t>
      </w:r>
    </w:p>
    <w:p>
      <w:pPr/>
      <w:r>
        <w:rPr/>
        <w:t xml:space="preserve">Le dimensionnement du procédé en cas d’incendie devra faire l’objet d’une appréciation de laboratoire délivrée par un laboratoire agréé par le Ministère de l’intérieur. L’appréciation devra couvrir les points suivants : </w:t>
      </w:r>
    </w:p>
    <w:p>
      <w:pPr>
        <w:pPr/>
        <w:numPr>
          <w:ilvl w:val="0"/>
          <w:numId w:val="12"/>
        </w:numPr>
      </w:pPr>
      <w:r>
        <w:rPr/>
        <w:t xml:space="preserve">Justification de la stabilité au feu de la paroi structurale </w:t>
      </w:r>
    </w:p>
    <w:p>
      <w:pPr>
        <w:pPr/>
        <w:numPr>
          <w:ilvl w:val="0"/>
          <w:numId w:val="12"/>
        </w:numPr>
      </w:pPr>
      <w:r>
        <w:rPr/>
        <w:t xml:space="preserve">Justification de la tenue de la paroi extérieure </w:t>
      </w:r>
    </w:p>
    <w:p>
      <w:pPr>
        <w:pPr/>
        <w:numPr>
          <w:ilvl w:val="0"/>
          <w:numId w:val="12"/>
        </w:numPr>
      </w:pPr>
      <w:r>
        <w:rPr/>
        <w:t xml:space="preserve">Dispositions constructives permettant d’éviter la propagation du feu aux niveaux supérieurs.</w:t>
      </w:r>
    </w:p>
    <w:p>
      <w:pPr/>
      <w:r>
        <w:rPr>
          <w:b/>
          <w:bCs/>
        </w:rPr>
        <w:t xml:space="preserve">Justification</w:t>
      </w:r>
    </w:p>
    <w:p>
      <w:pPr/>
      <w:r>
        <w:rPr/>
        <w:t xml:space="preserve">Appréciation au feu d'un laboratoire agréé permettant de valider l'aptitude à l'emploi du procédé en situation incendie, vis-à-vis du domaine d'emploi revendiqué.</w:t>
      </w:r>
    </w:p>
    <w:p>
      <w:pPr>
        <w:ind w:left="1440" w:right="0"/>
      </w:pPr>
      <w:r>
        <w:rPr>
          <w:rStyle w:val="font_h3"/>
        </w:rPr>
        <w:t xml:space="preserve">5.2.2. Justification de la stabilité au feu</w:t>
      </w:r>
    </w:p>
    <w:p>
      <w:pPr>
        <w:ind w:left="2160" w:right="0"/>
      </w:pPr>
      <w:r>
        <w:rPr>
          <w:rStyle w:val="font_h3"/>
        </w:rPr>
        <w:t xml:space="preserve">5.2.2.1. Stabilité au feu de la paroi intérieure (cas des panneaux porteurs)</w:t>
      </w:r>
    </w:p>
    <w:p>
      <w:pPr/>
      <w:r>
        <w:rPr/>
        <w:t xml:space="preserve">Validé par le Groupe Spécialisé le 14/02/2019</w:t>
      </w:r>
    </w:p>
    <w:p>
      <w:pPr/>
      <w:r>
        <w:rPr>
          <w:b/>
          <w:bCs/>
        </w:rPr>
        <w:t xml:space="preserve">Description</w:t>
      </w:r>
    </w:p>
    <w:p>
      <w:pPr/>
      <w:r>
        <w:rPr/>
        <w:t xml:space="preserve">Réalisation d’une Appréciation de Laboratoire agréé afin de déterminer la distribution de la température dans la paroi intérieure en béton (tableaux de valeurs de températures à l’intérieur de la paroi porteuse / épaisseurs des panneaux / durées d’exposition au feu). </w:t>
      </w:r>
    </w:p>
    <w:p>
      <w:pPr/>
      <w:r>
        <w:rPr>
          <w:b/>
          <w:bCs/>
        </w:rPr>
        <w:t xml:space="preserve">Jurisprudence du GS3.2</w:t>
      </w:r>
      <w:r>
        <w:rPr/>
        <w:t xml:space="preserve"> (suite à la consultation du Groupe d'Appuis Sécurité Incendie): </w:t>
      </w:r>
    </w:p>
    <w:p>
      <w:pPr/>
      <w:r>
        <w:rPr/>
        <w:t xml:space="preserve">-Il est recommandé de considérer l’isolant comme une barrière thermique idéale : condition d’échange thermique nul (surface adiabatique) à l’arrière du voile porteur exposé au feu. </w:t>
      </w:r>
    </w:p>
    <w:p>
      <w:pPr/>
      <w:r>
        <w:rPr/>
        <w:t xml:space="preserve">-Pour les parois exposées d’épaisseur supérieure ou égale à 140 mm et pour une durée d’exposition au feu inférieure ou égale à 120 minutes, il est possible d’adopter directement les champs de températures issus de la NF EN 1992-1-2.</w:t>
      </w:r>
    </w:p>
    <w:p>
      <w:pPr/>
      <w:r>
        <w:rPr>
          <w:b/>
          <w:bCs/>
        </w:rPr>
        <w:t xml:space="preserve">Justification</w:t>
      </w:r>
    </w:p>
    <w:p>
      <w:pPr/>
      <w:r>
        <w:rPr/>
        <w:t xml:space="preserve">Appréciation au feu d'un laboratoire agréé.</w:t>
      </w:r>
    </w:p>
    <w:p>
      <w:pPr>
        <w:ind w:left="2160" w:right="0"/>
      </w:pPr>
      <w:r>
        <w:rPr>
          <w:rStyle w:val="font_h3"/>
        </w:rPr>
        <w:t xml:space="preserve">5.2.2.2. Stabilité au feu des panneaux non porteurs</w:t>
      </w:r>
    </w:p>
    <w:p>
      <w:pPr/>
      <w:r>
        <w:rPr/>
        <w:t xml:space="preserve">Validé par le Groupe Spécialisé le 14/02/2019</w:t>
      </w:r>
    </w:p>
    <w:p>
      <w:pPr/>
      <w:r>
        <w:rPr>
          <w:b/>
          <w:bCs/>
        </w:rPr>
        <w:t xml:space="preserve">Description</w:t>
      </w:r>
    </w:p>
    <w:p>
      <w:pPr/>
      <w:r>
        <w:rPr/>
        <w:t xml:space="preserve">Appréciation de Laboratoire permettant de justifier la stabilité au feu des panneaux non porteurs en tenant compte de la présence de l’isolant à l’intérieur des murs, du système de liaison utilisé, de la nature du support et des systèmes de fixation utilisés. </w:t>
      </w:r>
    </w:p>
    <w:p>
      <w:pPr/>
      <w:r>
        <w:rPr>
          <w:b/>
          <w:bCs/>
        </w:rPr>
        <w:t xml:space="preserve">Jurisprudence du GS3.2</w:t>
      </w:r>
      <w:r>
        <w:rPr/>
        <w:t xml:space="preserve"> </w:t>
      </w:r>
    </w:p>
    <w:p>
      <w:pPr/>
      <w:r>
        <w:rPr/>
        <w:t xml:space="preserve">Dans le cas où les fixations à la structure ne font pas fait l’objet d'une appréciation de laboratoire permettant de justifier l’aptitude à l’emploi du panneau sandwich en cas d’incendie, la conception au feu des systèmes de fixation à la structure devra faire l’objet d’une appréciation de laboratoire agrée pour chaque chantier.</w:t>
      </w:r>
    </w:p>
    <w:p>
      <w:pPr/>
      <w:r>
        <w:rPr>
          <w:b/>
          <w:bCs/>
        </w:rPr>
        <w:t xml:space="preserve">Justification</w:t>
      </w:r>
    </w:p>
    <w:p>
      <w:pPr/>
      <w:r>
        <w:rPr/>
        <w:t xml:space="preserve">Appréciation au feu d'un laboratoire agréé.</w:t>
      </w:r>
    </w:p>
    <w:p>
      <w:pPr>
        <w:ind w:left="1440" w:right="0"/>
      </w:pPr>
      <w:r>
        <w:rPr>
          <w:rStyle w:val="font_h3"/>
        </w:rPr>
        <w:t xml:space="preserve">5.2.3. Justification de la tenue de la paroi extérieure</w:t>
      </w:r>
    </w:p>
    <w:p>
      <w:pPr/>
      <w:r>
        <w:rPr/>
        <w:t xml:space="preserve">Validé par le Groupe Spécialisé le 14/02/2019</w:t>
      </w:r>
    </w:p>
    <w:p>
      <w:pPr/>
      <w:r>
        <w:rPr>
          <w:b/>
          <w:bCs/>
        </w:rPr>
        <w:t xml:space="preserve">Description</w:t>
      </w:r>
    </w:p>
    <w:p>
      <w:pPr/>
      <w:r>
        <w:rPr/>
        <w:t xml:space="preserve">Appréciation de Laboratoire permettant de justifier la stabilité au feu de la paroi extérieure en tenant compte de la présence de l’isolant à l’intérieur des murs et du système de liaison utilisé.Dans le cas où les éléments de liaison utilisés sont constitués de matériaux dont le comportement thermomécanique n’est pas suffisamment connu (à définir par la laboratoire agréé), des essais au feu à différentes températures seront nécessaires pour déduire la réduction de la résistance en fonction de la température des éléments de liaison (évolution du comportement mécanique en fonction de la température imposée par l’incendie).</w:t>
      </w:r>
    </w:p>
    <w:p>
      <w:pPr/>
      <w:r>
        <w:rPr>
          <w:b/>
          <w:bCs/>
        </w:rPr>
        <w:t xml:space="preserve">Justification</w:t>
      </w:r>
    </w:p>
    <w:p>
      <w:pPr/>
      <w:r>
        <w:rPr/>
        <w:t xml:space="preserve">Appréciation au feu d'un laboratoire agréé.</w:t>
      </w:r>
    </w:p>
    <w:p>
      <w:pPr>
        <w:ind w:left="1440" w:right="0"/>
      </w:pPr>
      <w:r>
        <w:rPr>
          <w:rStyle w:val="font_h3"/>
        </w:rPr>
        <w:t xml:space="preserve">5.2.4. Dispositions constructives particulières permettant d’éviter la propagation du feu</w:t>
      </w:r>
    </w:p>
    <w:p>
      <w:pPr/>
      <w:r>
        <w:rPr/>
        <w:t xml:space="preserve">Validé par le Groupe Spécialisé le 14/02/2019</w:t>
      </w:r>
    </w:p>
    <w:p>
      <w:pPr/>
      <w:r>
        <w:rPr>
          <w:b/>
          <w:bCs/>
        </w:rPr>
        <w:t xml:space="preserve">Description</w:t>
      </w:r>
    </w:p>
    <w:p>
      <w:pPr/>
      <w:r>
        <w:rPr/>
        <w:t xml:space="preserve">Justification de la protection au feu de l’isolant lorsque celui-ci n’est pas M0 : réalisation d’une appréciation de laboratoire agréé permettant de définir les dispositions constructives de protection de l’isolant.</w:t>
      </w:r>
    </w:p>
    <w:p>
      <w:pPr/>
      <w:r>
        <w:rPr>
          <w:b/>
          <w:bCs/>
        </w:rPr>
        <w:t xml:space="preserve">Justification</w:t>
      </w:r>
    </w:p>
    <w:p>
      <w:pPr/>
      <w:r>
        <w:rPr/>
        <w:t xml:space="preserve">Appréciation au feu d'un laboratoire agréé.</w:t>
      </w:r>
    </w:p>
    <w:p>
      <w:pPr/>
      <w:r>
        <w:rPr>
          <w:rStyle w:val="font_h1"/>
        </w:rPr>
        <w:t xml:space="preserve">6. Isolation thermique</w:t>
      </w:r>
    </w:p>
    <w:p>
      <w:pPr/>
      <w:r>
        <w:rPr/>
        <w:t xml:space="preserve">Validé par le Groupe Spécialisé le 14/02/2019</w:t>
      </w:r>
    </w:p>
    <w:p>
      <w:pPr/>
      <w:r>
        <w:rPr>
          <w:b/>
          <w:bCs/>
        </w:rPr>
        <w:t xml:space="preserve">Description</w:t>
      </w:r>
    </w:p>
    <w:p>
      <w:pPr/>
      <w:r>
        <w:rPr/>
        <w:t xml:space="preserve">Détailler les conditions de détermination des performances thermiques du procédé de mur de façade de type sandwich. </w:t>
      </w:r>
    </w:p>
    <w:p>
      <w:pPr/>
      <w:r>
        <w:rPr>
          <w:b/>
          <w:bCs/>
        </w:rPr>
        <w:t xml:space="preserve">Jurisprudence GS3.2</w:t>
      </w:r>
      <w:r>
        <w:rPr/>
        <w:t xml:space="preserve"> </w:t>
      </w:r>
    </w:p>
    <w:p>
      <w:pPr/>
      <w:r>
        <w:rPr/>
        <w:t xml:space="preserve">Dans le cas de l’utilisation d’isolant sans certification de type ACERMI, les performances thermiques des panneaux doivent être calculées en majorant de 15 % les valeurs déclarées de la conductivité thermique de ces isolants.</w:t>
      </w:r>
    </w:p>
    <w:p>
      <w:pPr/>
      <w:r>
        <w:rPr>
          <w:b/>
          <w:bCs/>
        </w:rPr>
        <w:t xml:space="preserve">Justification</w:t>
      </w:r>
    </w:p>
    <w:p>
      <w:pPr/>
      <w:r>
        <w:rPr/>
        <w:t xml:space="preserve">Dans le cas où des valeurs des coefficients de transmission thermique surfaciques, des valeurs des coefficients de transmission linéiques à la jonction des points singuliers les plus courants (avec prise en compte des différents ponts thermiques) sont revendiquées et présentées dans le dossier technique, ces valeurs devront faire l’objet : (1) d’une note de calcul réalisé par les experts thermiques du CSTB ou (2) Validation des calculs réalisés par le demandeur (ou par une autre entité désigné par le titulaire du procédé) par les experts thermiques du CSTB.</w:t>
      </w:r>
    </w:p>
    <w:p>
      <w:pPr/>
      <w:r>
        <w:rPr>
          <w:rStyle w:val="font_h1"/>
        </w:rPr>
        <w:t xml:space="preserve">7. Isolation acoustique</w:t>
      </w:r>
    </w:p>
    <w:p>
      <w:pPr/>
      <w:r>
        <w:rPr/>
        <w:t xml:space="preserve">Validé par le Groupe Spécialisé le 14/02/2019</w:t>
      </w:r>
    </w:p>
    <w:p>
      <w:pPr/>
      <w:r>
        <w:rPr>
          <w:b/>
          <w:bCs/>
        </w:rPr>
        <w:t xml:space="preserve">Description</w:t>
      </w:r>
    </w:p>
    <w:p>
      <w:pPr/>
      <w:r>
        <w:rPr/>
        <w:t xml:space="preserve">Si des valeurs d’affaiblissement acoustique sont revendiquées dans le dossier technique, un PV d’essai acoustique donnant pour chaque produit de la gamme l’indice d’affaiblissement global Rw correspondant des parois devra être transmis.</w:t>
      </w:r>
    </w:p>
    <w:p>
      <w:pPr/>
      <w:r>
        <w:rPr>
          <w:b/>
          <w:bCs/>
        </w:rPr>
        <w:t xml:space="preserve">Justification</w:t>
      </w:r>
    </w:p>
    <w:p>
      <w:pPr/>
      <w:r>
        <w:rPr/>
        <w:t xml:space="preserve">PV d'essais acoustiques sur le procédé.</w:t>
      </w:r>
    </w:p>
    <w:p>
      <w:pPr/>
      <w:r>
        <w:rPr>
          <w:rStyle w:val="font_h1"/>
        </w:rPr>
        <w:t xml:space="preserve">8. Fabrication et assurance qualité</w:t>
      </w:r>
    </w:p>
    <w:p>
      <w:pPr>
        <w:ind w:left="720" w:right="0"/>
      </w:pPr>
      <w:r>
        <w:rPr>
          <w:rStyle w:val="font_h2"/>
        </w:rPr>
        <w:t xml:space="preserve">8.1. Fabrication</w:t>
      </w:r>
    </w:p>
    <w:p>
      <w:pPr/>
      <w:r>
        <w:rPr/>
        <w:t xml:space="preserve">Validé par le Groupe Spécialisé le 14/02/2019</w:t>
      </w:r>
    </w:p>
    <w:p>
      <w:pPr/>
      <w:r>
        <w:rPr>
          <w:b/>
          <w:bCs/>
        </w:rPr>
        <w:t xml:space="preserve">Description</w:t>
      </w:r>
    </w:p>
    <w:p>
      <w:pPr/>
      <w:r>
        <w:rPr/>
        <w:t xml:space="preserve">Description du processus de fabrication des panneaux sandwichs : principe et phasage des opérations.</w:t>
      </w:r>
    </w:p>
    <w:p>
      <w:pPr>
        <w:ind w:left="720" w:right="0"/>
      </w:pPr>
      <w:r>
        <w:rPr>
          <w:rStyle w:val="font_h2"/>
        </w:rPr>
        <w:t xml:space="preserve">8.2. Contrôle interne</w:t>
      </w:r>
    </w:p>
    <w:p>
      <w:pPr/>
      <w:r>
        <w:rPr/>
        <w:t xml:space="preserve">Validé par le Groupe Spécialisé le 14/02/2019</w:t>
      </w:r>
    </w:p>
    <w:p>
      <w:pPr/>
      <w:r>
        <w:rPr>
          <w:b/>
          <w:bCs/>
        </w:rPr>
        <w:t xml:space="preserve">Description</w:t>
      </w:r>
    </w:p>
    <w:p>
      <w:pPr/>
      <w:r>
        <w:rPr/>
        <w:t xml:space="preserve">Nature, fréquence et résultats des contrôles internes de production (sur les matières premières, en cours de fabrication, sur les produits finis).</w:t>
      </w:r>
    </w:p>
    <w:p>
      <w:pPr/>
      <w:r>
        <w:rPr>
          <w:b/>
          <w:bCs/>
        </w:rPr>
        <w:t xml:space="preserve">Justification</w:t>
      </w:r>
    </w:p>
    <w:p>
      <w:pPr/>
      <w:r>
        <w:rPr/>
        <w:t xml:space="preserve">-PAQ et CPU des différents sites de production. </w:t>
      </w:r>
    </w:p>
    <w:p>
      <w:pPr/>
      <w:r>
        <w:rPr/>
        <w:t xml:space="preserve">-Registres des contrôles internes.</w:t>
      </w:r>
    </w:p>
    <w:p>
      <w:pPr>
        <w:ind w:left="720" w:right="0"/>
      </w:pPr>
      <w:r>
        <w:rPr>
          <w:rStyle w:val="font_h2"/>
        </w:rPr>
        <w:t xml:space="preserve">8.3. Contrôle externe</w:t>
      </w:r>
    </w:p>
    <w:p>
      <w:pPr/>
      <w:r>
        <w:rPr/>
        <w:t xml:space="preserve">Validé par le Groupe Spécialisé le 09/02/2021</w:t>
      </w:r>
    </w:p>
    <w:p>
      <w:pPr/>
      <w:r>
        <w:rPr>
          <w:b/>
          <w:bCs/>
        </w:rPr>
        <w:t xml:space="preserve">Description</w:t>
      </w:r>
    </w:p>
    <w:p>
      <w:pPr/>
      <w:r>
        <w:rPr/>
        <w:t xml:space="preserve">Nature, fréquence et résultats des contrôles externes de production.Si le procédé de mur sandwich fait l’objet d’une certification : </w:t>
      </w:r>
    </w:p>
    <w:p>
      <w:pPr>
        <w:pPr/>
        <w:numPr>
          <w:ilvl w:val="0"/>
          <w:numId w:val="13"/>
        </w:numPr>
      </w:pPr>
      <w:r>
        <w:rPr/>
        <w:t xml:space="preserve">Préciser le type de certificat dont le procédé fait l’objet. </w:t>
      </w:r>
    </w:p>
    <w:p>
      <w:pPr>
        <w:pPr/>
        <w:numPr>
          <w:ilvl w:val="0"/>
          <w:numId w:val="13"/>
        </w:numPr>
      </w:pPr>
      <w:r>
        <w:rPr/>
        <w:t xml:space="preserve">Préciser l’entité qui délivre le certificat</w:t>
      </w:r>
    </w:p>
    <w:p>
      <w:pPr>
        <w:pPr/>
        <w:numPr>
          <w:ilvl w:val="0"/>
          <w:numId w:val="13"/>
        </w:numPr>
      </w:pPr>
      <w:r>
        <w:rPr/>
        <w:t xml:space="preserve">Préciser sous quel référentiel les contrôles de suivi de certification sont réalisés.</w:t>
      </w:r>
    </w:p>
    <w:p>
      <w:pPr/>
      <w:r>
        <w:rPr>
          <w:b/>
          <w:bCs/>
        </w:rPr>
        <w:t xml:space="preserve">Jurisprudence GS3.2 (Septembre 2020)</w:t>
      </w:r>
      <w:r>
        <w:rPr/>
        <w:t xml:space="preserve">En cas de suivi de fabrication de type certification, la demande de certification devra être effective pour l'ensemble de sites de production avant l'enregistrement et publication de l'Avis Technique. Les conclusions de l'audit d'admission/extension de l'usine, en ce qui concerne la cohérence entre les conditions de fabrication énoncées dans le Dossier Technique et celles observées, seront présentées devant le Groupe d'Experts lors d'une séance ultérieure.</w:t>
      </w:r>
    </w:p>
    <w:p>
      <w:pPr/>
      <w:r>
        <w:rPr>
          <w:b/>
          <w:bCs/>
        </w:rPr>
        <w:t xml:space="preserve">Justification</w:t>
      </w:r>
    </w:p>
    <w:p>
      <w:pPr/>
      <w:r>
        <w:rPr/>
        <w:t xml:space="preserve">-Certificat dont fait l'objet le produit le cas échéant.</w:t>
      </w:r>
    </w:p>
    <w:p>
      <w:pPr/>
      <w:r>
        <w:rPr/>
        <w:t xml:space="preserve">-Dernier rapport d'audit externe le cas échéant.</w:t>
      </w:r>
    </w:p>
    <w:p>
      <w:pPr>
        <w:ind w:left="720" w:right="0"/>
      </w:pPr>
      <w:r>
        <w:rPr>
          <w:rStyle w:val="font_h2"/>
        </w:rPr>
        <w:t xml:space="preserve">8.4. Caractéristiques dimensionnelles et tolérances</w:t>
      </w:r>
    </w:p>
    <w:p>
      <w:pPr/>
      <w:r>
        <w:rPr/>
        <w:t xml:space="preserve">Validé par le Groupe Spécialisé le 14/02/2019</w:t>
      </w:r>
    </w:p>
    <w:p>
      <w:pPr/>
      <w:r>
        <w:rPr>
          <w:b/>
          <w:bCs/>
        </w:rPr>
        <w:t xml:space="preserve">Description</w:t>
      </w:r>
    </w:p>
    <w:p>
      <w:pPr/>
      <w:r>
        <w:rPr/>
        <w:t xml:space="preserve">Déclaration des tolérances de fabrication (dimensions des panneaux, positionnement des fixations et des éléments de levage, conditions d’enrobage, …)Déclaration des tolérances de fabrication: </w:t>
      </w:r>
    </w:p>
    <w:p>
      <w:pPr/>
      <w:r>
        <w:rPr/>
        <w:t xml:space="preserve">•   Si certification de type NF associée, déclarer les tolérances sur l'enrobage des armatures et les tolérances qui diffèrent du référentiel de certification </w:t>
      </w:r>
    </w:p>
    <w:p>
      <w:pPr/>
      <w:r>
        <w:rPr/>
        <w:t xml:space="preserve">•   Si pas de certification associée, tolérances par défaut de la norme NF EN 14992 (Classe B). </w:t>
      </w:r>
    </w:p>
    <w:p>
      <w:pPr/>
      <w:r>
        <w:rPr>
          <w:b/>
          <w:bCs/>
        </w:rPr>
        <w:t xml:space="preserve">Jurisprudence du GS3.2</w:t>
      </w:r>
      <w:r>
        <w:rPr/>
        <w:t xml:space="preserve">  : tolérances de fabrication</w:t>
      </w:r>
    </w:p>
    <w:p>
      <w:pPr/>
      <w:r>
        <w:rPr/>
        <w:t xml:space="preserve">Adopter par défaut les tolérances dimensionnelles de la classe B au sens de la NF EN 14 992 dans le cas où les produits ne font pas l’objet d’une certification par un organisme tiers.  Pour la tolérance sur l’enrobage des armatures, retenir par défaut Δc,dev= 5 mm en l’absence de certification par un organisme extérieur.</w:t>
      </w:r>
    </w:p>
    <w:p>
      <w:pPr/>
      <w:r>
        <w:rPr>
          <w:b/>
          <w:bCs/>
        </w:rPr>
        <w:t xml:space="preserve">Justification</w:t>
      </w:r>
    </w:p>
    <w:p>
      <w:pPr/>
      <w:r>
        <w:rPr/>
        <w:t xml:space="preserve">-Le certificat dont fait l'objet le produit le cas échéant. </w:t>
      </w:r>
    </w:p>
    <w:p>
      <w:pPr/>
      <w:r>
        <w:rPr/>
        <w:t xml:space="preserve">-Informations accompagnant le marquage CE des procédés entrant dans le champ d’application de la norme harmonisée NF EN 14992 : transmettre la déclaration des performances.</w:t>
      </w:r>
    </w:p>
    <w:p>
      <w:pPr>
        <w:ind w:left="720" w:right="0"/>
      </w:pPr>
      <w:r>
        <w:rPr>
          <w:rStyle w:val="font_h2"/>
        </w:rPr>
        <w:t xml:space="preserve">8.5. Marquage</w:t>
      </w:r>
    </w:p>
    <w:p>
      <w:pPr/>
      <w:r>
        <w:rPr/>
        <w:t xml:space="preserve">Validé par le Groupe Spécialisé le 14/02/2019</w:t>
      </w:r>
    </w:p>
    <w:p>
      <w:pPr/>
      <w:r>
        <w:rPr>
          <w:b/>
          <w:bCs/>
        </w:rPr>
        <w:t xml:space="preserve">Description</w:t>
      </w:r>
    </w:p>
    <w:p>
      <w:pPr/>
      <w:r>
        <w:rPr/>
        <w:t xml:space="preserve">Préciser les modalités de marquage et d'identification des produits. </w:t>
      </w:r>
    </w:p>
    <w:p>
      <w:pPr/>
      <w:r>
        <w:rPr/>
        <w:t xml:space="preserve">Dans le cas des produits relevant de la NF EN 14992, le procédé devra faire l’objet d’un « Marquage CE » suivant la norme NF EN 14 992.</w:t>
      </w:r>
    </w:p>
    <w:p>
      <w:pPr/>
      <w:r>
        <w:rPr>
          <w:b/>
          <w:bCs/>
        </w:rPr>
        <w:t xml:space="preserve">Justification</w:t>
      </w:r>
    </w:p>
    <w:p>
      <w:pPr/>
      <w:r>
        <w:rPr/>
        <w:t xml:space="preserve">Etiquette de marquage du produit.</w:t>
      </w:r>
    </w:p>
    <w:p>
      <w:pPr/>
      <w:r>
        <w:rPr>
          <w:rStyle w:val="font_h1"/>
        </w:rPr>
        <w:t xml:space="preserve">9. Mise en œuvre sur chantier</w:t>
      </w:r>
    </w:p>
    <w:p>
      <w:pPr>
        <w:ind w:left="720" w:right="0"/>
      </w:pPr>
      <w:r>
        <w:rPr>
          <w:rStyle w:val="font_h2"/>
        </w:rPr>
        <w:t xml:space="preserve">9.1. Transport des panneaux</w:t>
      </w:r>
    </w:p>
    <w:p>
      <w:pPr/>
      <w:r>
        <w:rPr/>
        <w:t xml:space="preserve">Validé par le Groupe Spécialisé le 14/02/2019</w:t>
      </w:r>
    </w:p>
    <w:p>
      <w:pPr/>
      <w:r>
        <w:rPr>
          <w:b/>
          <w:bCs/>
        </w:rPr>
        <w:t xml:space="preserve">Description</w:t>
      </w:r>
    </w:p>
    <w:p>
      <w:pPr/>
      <w:r>
        <w:rPr/>
        <w:t xml:space="preserve">Décrire les différentes dispositions constructives relatives au transport des éléments préfabriqués.</w:t>
      </w:r>
    </w:p>
    <w:p>
      <w:pPr>
        <w:ind w:left="720" w:right="0"/>
      </w:pPr>
      <w:r>
        <w:rPr>
          <w:rStyle w:val="font_h2"/>
        </w:rPr>
        <w:t xml:space="preserve">9.2. Levage des panneaux</w:t>
      </w:r>
    </w:p>
    <w:p>
      <w:pPr/>
      <w:r>
        <w:rPr/>
        <w:t xml:space="preserve">Validé par le Groupe Spécialisé le 14/02/2019</w:t>
      </w:r>
    </w:p>
    <w:p>
      <w:pPr/>
      <w:r>
        <w:rPr>
          <w:b/>
          <w:bCs/>
        </w:rPr>
        <w:t xml:space="preserve">Description</w:t>
      </w:r>
    </w:p>
    <w:p>
      <w:pPr/>
      <w:r>
        <w:rPr/>
        <w:t xml:space="preserve">Décrire les différentes dispositions constructives relatives au levage des panneaux : utilisation des élingues de levage, angle d’élingage, points de levage, etc.</w:t>
      </w:r>
    </w:p>
    <w:p>
      <w:pPr/>
      <w:r>
        <w:rPr>
          <w:b/>
          <w:bCs/>
        </w:rPr>
        <w:t xml:space="preserve">Justification</w:t>
      </w:r>
    </w:p>
    <w:p>
      <w:pPr/>
      <w:r>
        <w:rPr/>
        <w:t xml:space="preserve">Notice de pose du titulaire du procédé.</w:t>
      </w:r>
    </w:p>
    <w:p>
      <w:pPr>
        <w:ind w:left="720" w:right="0"/>
      </w:pPr>
      <w:r>
        <w:rPr>
          <w:rStyle w:val="font_h2"/>
        </w:rPr>
        <w:t xml:space="preserve">9.3. Pose des panneaux</w:t>
      </w:r>
    </w:p>
    <w:p>
      <w:pPr/>
      <w:r>
        <w:rPr/>
        <w:t xml:space="preserve">Validé par le Groupe Spécialisé le 14/02/2019</w:t>
      </w:r>
    </w:p>
    <w:p>
      <w:pPr/>
      <w:r>
        <w:rPr>
          <w:b/>
          <w:bCs/>
        </w:rPr>
        <w:t xml:space="preserve">Description</w:t>
      </w:r>
    </w:p>
    <w:p>
      <w:pPr/>
      <w:r>
        <w:rPr/>
        <w:t xml:space="preserve">-Description de la mise en œuvre et phasage des opérations de montage (préparation et reconnaissance des supports, montage des panneaux, principe d’étaiement, mode de réalisation des joints verticaux et horizontaux entre panneaux, principes de calage en phase provisoire, traitement des points singuliers tels que les angles, les pourtours de baies, les jonctions façade-fondation, les jonctions façade-plancher, la fixation des panneaux non porteurs, la fixation des dormants d’ouvertures, les balcons, …)</w:t>
      </w:r>
    </w:p>
    <w:p>
      <w:pPr/>
      <w:r>
        <w:rPr/>
        <w:t xml:space="preserve">-Description des liaisons structurales en pied et tête de panneaux ;</w:t>
      </w:r>
    </w:p>
    <w:p>
      <w:pPr/>
      <w:r>
        <w:rPr/>
        <w:t xml:space="preserve">-Tolérance de mise en œuvre à déclarer : désaffleurement maximal entre panneaux, largeurs des joints verticaux et horizontaux, faux-aplomb </w:t>
      </w:r>
    </w:p>
    <w:p>
      <w:pPr/>
      <w:r>
        <w:rPr/>
        <w:t xml:space="preserve">-Détail des équipements de protection, collective ou individuelle, intégrés aux panneaux pour la sécurité des personnes (garde-corps, échafaudages, crochets, ligne de vie, etc., ...)</w:t>
      </w:r>
    </w:p>
    <w:p>
      <w:pPr/>
      <w:r>
        <w:rPr/>
        <w:t xml:space="preserve">-Description des dispositions d’étanchéité prévues aux joints verticaux et horizontaux, éventuellement en référence au DTU 22.1. </w:t>
      </w:r>
    </w:p>
    <w:p>
      <w:pPr/>
      <w:r>
        <w:rPr/>
        <w:t xml:space="preserve">-Détails d’incorporation des menuiseries.</w:t>
      </w:r>
    </w:p>
    <w:p>
      <w:pPr/>
      <w:r>
        <w:rPr/>
        <w:t xml:space="preserve">-Nature et contenu de l’assistance technique prévue pour la mise en œuvre.</w:t>
      </w:r>
    </w:p>
    <w:p>
      <w:pPr/>
      <w:r>
        <w:rPr>
          <w:b/>
          <w:bCs/>
        </w:rPr>
        <w:t xml:space="preserve">Justification</w:t>
      </w:r>
    </w:p>
    <w:p>
      <w:pPr/>
      <w:r>
        <w:rPr/>
        <w:t xml:space="preserve">-Notice de pose du titulaire du procédé. </w:t>
      </w:r>
    </w:p>
    <w:p>
      <w:pPr/>
      <w:r>
        <w:rPr/>
        <w:t xml:space="preserve">-Liste des références chantier.</w:t>
      </w:r>
    </w:p>
    <w:p>
      <w:pPr/>
      <w:r>
        <w:rPr>
          <w:b/>
          <w:bCs/>
        </w:rPr>
        <w:t xml:space="preserve">Illustration</w:t>
      </w:r>
    </w:p>
    <w:p>
      <w:pPr/>
      <w:r>
        <w:rPr/>
        <w:t xml:space="preserve">-Principe d’assemblage entre panneaux (porteurs et non porteurs) : principe de superposition des panneaux, principe de clavetage vertical entre panneaux adjacents (en zone courante et en angle) ; </w:t>
      </w:r>
    </w:p>
    <w:p>
      <w:pPr/>
      <w:r>
        <w:rPr/>
        <w:t xml:space="preserve">-Principe d’assemblage entre panneaux porteurs et la structure de l’ouvrage : jonctions panneaux-fondations et jonctions panneaux-planchers (suivant différents types de plancher visés et différents types de structures visés) ; </w:t>
      </w:r>
    </w:p>
    <w:p>
      <w:pPr/>
      <w:r>
        <w:rPr/>
        <w:t xml:space="preserve">-Principe de fixation des panneaux non porteur sur la structure de l’ouvrage (avec et hors exigence sismique, suivant différents types de support visés) ; </w:t>
      </w:r>
    </w:p>
    <w:p>
      <w:pPr/>
      <w:r>
        <w:rPr/>
        <w:t xml:space="preserve">-Détails des dispositions d’étanchéité prévues : joints verticaux et horizontaux entre panneaux, croisement de joints,  cas des panneaux d’angle, pieds de mur et acrotères (traitement de la remontée d’étanchéité, tête d’acrotère) ; </w:t>
      </w:r>
    </w:p>
    <w:p>
      <w:pPr/>
      <w:r>
        <w:rPr/>
        <w:t xml:space="preserve">-Détails d’incorporation des menuiseries : coupes verticales et coupes horizontales, raccord entre joints verticaux et horizontaux, solutions de protection de l’isolant vis-à-vis de l’incendie.</w:t>
      </w:r>
    </w:p>
    <w:p>
      <w:pPr/>
      <w:r>
        <w:rPr>
          <w:rStyle w:val="font_h1"/>
        </w:rPr>
        <w:t xml:space="preserve">10. Conditions d'exploitation</w:t>
      </w:r>
    </w:p>
    <w:p>
      <w:pPr/>
      <w:r>
        <w:rPr/>
        <w:t xml:space="preserve">Validé par le Groupe Spécialisé le 14/02/2019</w:t>
      </w:r>
    </w:p>
    <w:p>
      <w:pPr/>
      <w:r>
        <w:rPr>
          <w:b/>
          <w:bCs/>
        </w:rPr>
        <w:t xml:space="preserve">Description</w:t>
      </w:r>
    </w:p>
    <w:p>
      <w:pPr/>
      <w:r>
        <w:rPr/>
        <w:t xml:space="preserve">Rôle des intervenants dans le dimensionnement du procédé : parois en béton armé, éléments de levage, éléments de liaison entre parois et éléments de fixation à la structure (BET entreprise, BET préfabricant des panneaux, BET éléments de liaison, …). </w:t>
      </w:r>
    </w:p>
    <w:p>
      <w:pPr/>
      <w:r>
        <w:rPr>
          <w:b/>
          <w:bCs/>
        </w:rPr>
        <w:t xml:space="preserve">Jurisprudence du GS3.2</w:t>
      </w:r>
      <w:r>
        <w:rPr/>
        <w:t xml:space="preserve"> </w:t>
      </w:r>
    </w:p>
    <w:p>
      <w:pPr/>
      <w:r>
        <w:rPr/>
        <w:t xml:space="preserve">Le BET structure de l’opération détermine les efforts, les épaisseurs de la paroi structurale et le ferraillage de celle-ci. Le calepinage est réalisé par le titulaire ou le BET désigné par celui-ci. Le dimensionnement des panneaux (jonctions entre panneaux, paroi extérieure et fixation des panneaux non porteurs) doit être réalisé par le titulaire ou un autre bureau d’étude désigné par le titulaire</w:t>
      </w:r>
    </w:p>
    <w:p>
      <w:pPr/>
      <w:r>
        <w:rPr>
          <w:rStyle w:val="font_h1"/>
        </w:rPr>
        <w:t xml:space="preserve">11. Données environnementales et sanitaires</w:t>
      </w:r>
    </w:p>
    <w:p>
      <w:pPr/>
      <w:r>
        <w:rPr/>
        <w:t xml:space="preserve">Validé par le Groupe Spécialisé le 14/02/2019</w:t>
      </w:r>
    </w:p>
    <w:p>
      <w:pPr/>
      <w:r>
        <w:rPr>
          <w:b/>
          <w:bCs/>
        </w:rPr>
        <w:t xml:space="preserve">Description</w:t>
      </w:r>
    </w:p>
    <w:p>
      <w:pPr/>
      <w:r>
        <w:rPr/>
        <w:t xml:space="preserve">Préciser si le procédé fait l’objet d’un Déclaration Environnementale (DE) au sens de l’arrêté du 31 aout 2015.Les données issues des DE ont notamment pour objet de servir au calcul des impacts environnementaux des ouvrages dans lesquels les produits (ou procédés) visés sont susceptibles d’être intégré.</w:t>
      </w:r>
    </w:p>
    <w:p>
      <w:pPr/>
      <w:r>
        <w:rPr>
          <w:b/>
          <w:bCs/>
        </w:rPr>
        <w:t xml:space="preserve">Justification</w:t>
      </w:r>
    </w:p>
    <w:p>
      <w:pPr/>
      <w:r>
        <w:rPr/>
        <w:t xml:space="preserve">Déclaration Environnementale (DE) au sens de l’arrêté du 31 aout 2015.</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F115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104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E3F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CA2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FCC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2026-02-14T09:55:19+01:00</dcterms:created>
  <dcterms:modified xsi:type="dcterms:W3CDTF">2026-02-14T09:55:19+01:00</dcterms:modified>
</cp:coreProperties>
</file>

<file path=docProps/custom.xml><?xml version="1.0" encoding="utf-8"?>
<Properties xmlns="http://schemas.openxmlformats.org/officeDocument/2006/custom-properties" xmlns:vt="http://schemas.openxmlformats.org/officeDocument/2006/docPropsVTypes"/>
</file>