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 bois à usage structural - mur</w:t>
      </w:r>
    </w:p>
    <w:p>
      <w:pPr/>
      <w:r>
        <w:rPr>
          <w:rStyle w:val="font_h1"/>
        </w:rPr>
        <w:t xml:space="preserve">1. Principe</w:t>
      </w:r>
    </w:p>
    <w:p>
      <w:pPr/>
      <w:r>
        <w:rPr/>
        <w:t xml:space="preserve">Validé par le Groupe Spécialisé le 14/02/2019</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 ou type de fixation entre planches utilisées (pointes, ...).</w:t>
      </w:r>
    </w:p>
    <w:p>
      <w:pPr/>
      <w:r>
        <w:rPr>
          <w:rStyle w:val="font_h1"/>
        </w:rPr>
        <w:t xml:space="preserve">2. Domaine d'emploi</w:t>
      </w:r>
    </w:p>
    <w:p>
      <w:pPr>
        <w:ind w:left="720" w:right="0"/>
      </w:pPr>
      <w:r>
        <w:rPr>
          <w:rStyle w:val="font_h2"/>
        </w:rPr>
        <w:t xml:space="preserve">2.1. Description du domaine d'emploi</w:t>
      </w:r>
    </w:p>
    <w:p>
      <w:pPr/>
      <w:r>
        <w:rPr/>
        <w:t xml:space="preserve">Validé par le Groupe Spécialisé le 14/02/2019</w:t>
      </w:r>
    </w:p>
    <w:p>
      <w:pPr/>
      <w:r>
        <w:rPr>
          <w:b/>
          <w:bCs/>
        </w:rPr>
        <w:t xml:space="preserve">Description</w:t>
      </w:r>
    </w:p>
    <w:p>
      <w:pPr/>
      <w:r>
        <w:rPr/>
        <w:t xml:space="preserve">Domaine d'emploi du procédé :</w:t>
      </w:r>
    </w:p>
    <w:p>
      <w:pPr/>
      <w:r>
        <w:rPr/>
        <w:t xml:space="preserve">•   Destination du procédé (ERP, bâtiments à usage d'habitation, etc...) ;</w:t>
      </w:r>
    </w:p>
    <w:p>
      <w:pPr/>
      <w:r>
        <w:rPr/>
        <w:t xml:space="preserve">•   Classe de service visée par le procédé au sens de la norme NF EN 1995-1-1 ;</w:t>
      </w:r>
    </w:p>
    <w:p>
      <w:pPr/>
      <w:r>
        <w:rPr/>
        <w:t xml:space="preserve">•   Classe d'emploi visée par le procédé au sens de la norme NF EN 335 ;</w:t>
      </w:r>
    </w:p>
    <w:p>
      <w:pPr/>
      <w:r>
        <w:rPr/>
        <w:t xml:space="preserve">•   Zones sismiques visées au sens de l’arrêté du 22 octobre 2010 modifié (I, II, III,IV ou V)  ;</w:t>
      </w:r>
    </w:p>
    <w:p>
      <w:pPr/>
      <w:r>
        <w:rPr/>
        <w:t xml:space="preserve">•   Zone géographique visée : France européenne et/ou DROM-COM ;</w:t>
      </w:r>
    </w:p>
    <w:p>
      <w:pPr/>
      <w:r>
        <w:rPr/>
        <w:t xml:space="preserve">•   Limitation aux locaux à faible ou moyenne hygrométrie à l'exclusion des locaux à forte et très forte hygrométrie, c’est à dire ceux pour lesquels W/n 5g/m3, avec : </w:t>
      </w:r>
    </w:p>
    <w:p>
      <w:pPr/>
      <w:r>
        <w:rPr/>
        <w:t xml:space="preserve">-W = quantité de vapeur d’eau produite à l’intérieur du local par heure ; </w:t>
      </w:r>
    </w:p>
    <w:p>
      <w:pPr/>
      <w:r>
        <w:rPr/>
        <w:t xml:space="preserve">-n = taux horaire de renouvellement d’air.</w:t>
      </w:r>
    </w:p>
    <w:p>
      <w:pPr>
        <w:ind w:left="720" w:right="0"/>
      </w:pPr>
      <w:r>
        <w:rPr>
          <w:rStyle w:val="font_h2"/>
        </w:rPr>
        <w:t xml:space="preserve">2.2. Liste de références chantier</w:t>
      </w:r>
    </w:p>
    <w:p>
      <w:pPr/>
      <w:r>
        <w:rPr/>
        <w:t xml:space="preserve">Validé par le Groupe Spécialisé le 21/04/2022</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0"/>
        </w:numPr>
      </w:pPr>
      <w:r>
        <w:rPr/>
        <w:t xml:space="preserve">Le type de chantier ;</w:t>
      </w:r>
    </w:p>
    <w:p>
      <w:pPr>
        <w:pPr/>
        <w:numPr>
          <w:ilvl w:val="0"/>
          <w:numId w:val="10"/>
        </w:numPr>
      </w:pPr>
      <w:r>
        <w:rPr/>
        <w:t xml:space="preserve">Le lieu ;</w:t>
      </w:r>
    </w:p>
    <w:p>
      <w:pPr>
        <w:pPr/>
        <w:numPr>
          <w:ilvl w:val="0"/>
          <w:numId w:val="10"/>
        </w:numPr>
      </w:pPr>
      <w:r>
        <w:rPr/>
        <w:t xml:space="preserve">La date de mise en œuvre ;</w:t>
      </w:r>
    </w:p>
    <w:p>
      <w:pPr>
        <w:pPr/>
        <w:numPr>
          <w:ilvl w:val="0"/>
          <w:numId w:val="10"/>
        </w:numPr>
      </w:pPr>
      <w:r>
        <w:rPr/>
        <w:t xml:space="preserve">La surface de produit utilisée.</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21/04/2022</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 ou la norme NF EN 15497.</w:t>
      </w:r>
    </w:p>
    <w:p>
      <w:pPr>
        <w:ind w:left="720" w:right="0"/>
      </w:pPr>
      <w:r>
        <w:rPr>
          <w:rStyle w:val="font_h2"/>
        </w:rPr>
        <w:t xml:space="preserve">3.2. Colle et connecteur</w:t>
      </w:r>
    </w:p>
    <w:p>
      <w:pPr/>
      <w:r>
        <w:rPr/>
        <w:t xml:space="preserve">Validé par le Groupe Spécialisé le 14/02/2019</w:t>
      </w:r>
    </w:p>
    <w:p>
      <w:pPr/>
      <w:r>
        <w:rPr>
          <w:b/>
          <w:bCs/>
        </w:rPr>
        <w:t xml:space="preserve">Description</w:t>
      </w:r>
    </w:p>
    <w:p>
      <w:pPr/>
      <w:r>
        <w:rPr/>
        <w:t xml:space="preserve">Description de la colle ou des connecteurs utilisés en précisant :</w:t>
      </w:r>
    </w:p>
    <w:p>
      <w:pPr/>
      <w:r>
        <w:rPr/>
        <w:t xml:space="preserve">Pour la colle :</w:t>
      </w:r>
    </w:p>
    <w:p>
      <w:pPr>
        <w:pPr/>
        <w:numPr>
          <w:ilvl w:val="0"/>
          <w:numId w:val="12"/>
        </w:numPr>
      </w:pPr>
      <w:r>
        <w:rPr/>
        <w:t xml:space="preserve">son type selon la norme NF EN 301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r>
        <w:rPr/>
        <w:t xml:space="preserve">Pour le connecteur :</w:t>
      </w:r>
    </w:p>
    <w:p>
      <w:pPr>
        <w:pPr/>
        <w:numPr>
          <w:ilvl w:val="0"/>
          <w:numId w:val="13"/>
        </w:numPr>
      </w:pPr>
      <w:r>
        <w:rPr/>
        <w:t xml:space="preserve">sa résistance et son module de glissement ;</w:t>
      </w:r>
    </w:p>
    <w:p>
      <w:pPr>
        <w:pPr/>
        <w:numPr>
          <w:ilvl w:val="0"/>
          <w:numId w:val="13"/>
        </w:numPr>
      </w:pPr>
      <w:r>
        <w:rPr/>
        <w:t xml:space="preserve">ses autres caractéristiques selon norme de référence ou selon l'Evaluation Technique Européenne couvrant le connecteur et les registres de contrôle interne et externe permettant de s'assurer de la constance des performances.</w:t>
      </w:r>
    </w:p>
    <w:p>
      <w:pPr>
        <w:ind w:left="720" w:right="0"/>
      </w:pPr>
      <w:r>
        <w:rPr>
          <w:rStyle w:val="font_h2"/>
        </w:rPr>
        <w:t xml:space="preserve">3.3. Produits de préservation</w:t>
      </w:r>
    </w:p>
    <w:p>
      <w:pPr/>
      <w:r>
        <w:rPr/>
        <w:t xml:space="preserve">Validé par le Groupe Spécialisé le 14/02/2019</w:t>
      </w:r>
    </w:p>
    <w:p>
      <w:pPr/>
      <w:r>
        <w:rPr>
          <w:b/>
          <w:bCs/>
        </w:rPr>
        <w:t xml:space="preserve">Description</w:t>
      </w:r>
    </w:p>
    <w:p>
      <w:pPr/>
      <w:r>
        <w:rPr/>
        <w:t xml:space="preserve">En fonction de la classe d’emploi liée à la position du panneau dans l’ouvrage d’une part, et à l’essence utilisée d’autre part, un traitement de préservation du bois peut être nécessaire.Le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14/02/2019</w:t>
      </w:r>
    </w:p>
    <w:p>
      <w:pPr/>
      <w:r>
        <w:rPr>
          <w:b/>
          <w:bCs/>
        </w:rPr>
        <w:t xml:space="preserve">Description</w:t>
      </w:r>
    </w:p>
    <w:p>
      <w:pPr>
        <w:pPr/>
        <w:numPr>
          <w:ilvl w:val="0"/>
          <w:numId w:val="14"/>
        </w:numPr>
      </w:pPr>
      <w:r>
        <w:rPr/>
        <w:t xml:space="preserve">Dimensions des panneaux (longueur, hauteur et épaisseur en fonction du nombre de pli) ;</w:t>
      </w:r>
    </w:p>
    <w:p>
      <w:pPr>
        <w:pPr/>
        <w:numPr>
          <w:ilvl w:val="0"/>
          <w:numId w:val="14"/>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14/02/2019</w:t>
      </w:r>
    </w:p>
    <w:p>
      <w:pPr/>
      <w:r>
        <w:rPr>
          <w:b/>
          <w:bCs/>
        </w:rPr>
        <w:t xml:space="preserve">Description</w:t>
      </w:r>
    </w:p>
    <w:p>
      <w:pPr/>
      <w:r>
        <w:rPr/>
        <w:t xml:space="preserve">Ajouter les caractéristiques physiques des panneaux :</w:t>
      </w:r>
    </w:p>
    <w:p>
      <w:pPr>
        <w:pPr/>
        <w:numPr>
          <w:ilvl w:val="0"/>
          <w:numId w:val="15"/>
        </w:numPr>
      </w:pPr>
      <w:r>
        <w:rPr/>
        <w:t xml:space="preserve">La masse volumique des panneaux ;</w:t>
      </w:r>
    </w:p>
    <w:p>
      <w:pPr>
        <w:pPr/>
        <w:numPr>
          <w:ilvl w:val="0"/>
          <w:numId w:val="15"/>
        </w:numPr>
      </w:pPr>
      <w:r>
        <w:rPr/>
        <w:t xml:space="preserve">Les variations dimensionnelles dans le plan et hors plan des panneaux ;</w:t>
      </w:r>
    </w:p>
    <w:p>
      <w:pPr>
        <w:pPr/>
        <w:numPr>
          <w:ilvl w:val="0"/>
          <w:numId w:val="15"/>
        </w:numPr>
      </w:pPr>
      <w:r>
        <w:rPr/>
        <w:t xml:space="preserve">La capacité calorifique massique du panneau ;</w:t>
      </w:r>
    </w:p>
    <w:p>
      <w:pPr>
        <w:pPr/>
        <w:numPr>
          <w:ilvl w:val="0"/>
          <w:numId w:val="15"/>
        </w:numPr>
      </w:pPr>
      <w:r>
        <w:rPr/>
        <w:t xml:space="preserve">Le coefficient de conductivité thermique ;</w:t>
      </w:r>
    </w:p>
    <w:p>
      <w:pPr>
        <w:pPr/>
        <w:numPr>
          <w:ilvl w:val="0"/>
          <w:numId w:val="15"/>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14/02/2019</w:t>
      </w:r>
    </w:p>
    <w:p>
      <w:pPr/>
      <w:r>
        <w:rPr>
          <w:b/>
          <w:bCs/>
        </w:rPr>
        <w:t xml:space="preserve">Description</w:t>
      </w:r>
    </w:p>
    <w:p>
      <w:pPr/>
      <w:r>
        <w:rPr/>
        <w:t xml:space="preserve">Ajouter le site de fabrication des panneaux bois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14/02/2019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6"/>
        </w:numPr>
      </w:pPr>
      <w:r>
        <w:rPr/>
        <w:t xml:space="preserve">Le marquage CE si le panneau est conforme à une ETE ou à l'annexe ZA d'une norme applicable ;</w:t>
      </w:r>
    </w:p>
    <w:p>
      <w:pPr>
        <w:pPr/>
        <w:numPr>
          <w:ilvl w:val="0"/>
          <w:numId w:val="16"/>
        </w:numPr>
      </w:pPr>
      <w:r>
        <w:rPr/>
        <w:t xml:space="preserve">Le lieu de fabrication du panneau ;</w:t>
      </w:r>
    </w:p>
    <w:p>
      <w:pPr>
        <w:pPr/>
        <w:numPr>
          <w:ilvl w:val="0"/>
          <w:numId w:val="16"/>
        </w:numPr>
      </w:pPr>
      <w:r>
        <w:rPr/>
        <w:t xml:space="preserve">Les caractéristiques du panneau ;</w:t>
      </w:r>
    </w:p>
    <w:p>
      <w:pPr>
        <w:pPr/>
        <w:numPr>
          <w:ilvl w:val="0"/>
          <w:numId w:val="16"/>
        </w:numPr>
      </w:pPr>
      <w:r>
        <w:rPr/>
        <w:t xml:space="preserve">La référence de la commande.</w:t>
      </w:r>
    </w:p>
    <w:p>
      <w:pPr>
        <w:ind w:left="720" w:right="0"/>
      </w:pPr>
      <w:r>
        <w:rPr>
          <w:rStyle w:val="font_h2"/>
        </w:rPr>
        <w:t xml:space="preserve">5.3. Contrôle de fabrication</w:t>
      </w:r>
    </w:p>
    <w:p>
      <w:pPr/>
      <w:r>
        <w:rPr/>
        <w:t xml:space="preserve">Validé par le Groupe Spécialisé le 14/02/2019</w:t>
      </w:r>
    </w:p>
    <w:p>
      <w:pPr/>
      <w:r>
        <w:rPr>
          <w:b/>
          <w:bCs/>
        </w:rPr>
        <w:t xml:space="preserve">Description</w:t>
      </w:r>
    </w:p>
    <w:p>
      <w:pPr/>
      <w:r>
        <w:rPr/>
        <w:t xml:space="preserve">Décrire la nature et la fréquence des contrôles réalisés au cours de la fabrication des panneaux bois :</w:t>
      </w:r>
    </w:p>
    <w:p>
      <w:pPr>
        <w:pPr/>
        <w:numPr>
          <w:ilvl w:val="0"/>
          <w:numId w:val="17"/>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pour le CLT et la NF EN 15497 pour les panneaux bois de type contre-cloués), essais de résistance du panneau au cisaillement roulant selon la norme NF EN 16351 (dans le cas du CLT).</w:t>
      </w:r>
    </w:p>
    <w:p>
      <w:pPr>
        <w:pPr/>
        <w:numPr>
          <w:ilvl w:val="0"/>
          <w:numId w:val="17"/>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ceux préconisés par la norme NF EN 16351.</w:t>
      </w:r>
    </w:p>
    <w:p>
      <w:pPr/>
      <w:r>
        <w:rPr>
          <w:b/>
          <w:bCs/>
        </w:rPr>
        <w:t xml:space="preserve">Justification</w:t>
      </w:r>
    </w:p>
    <w:p>
      <w:pPr>
        <w:pPr/>
        <w:numPr>
          <w:ilvl w:val="0"/>
          <w:numId w:val="18"/>
        </w:numPr>
      </w:pPr>
      <w:r>
        <w:rPr/>
        <w:t xml:space="preserve">Joindre les Plan d'Assurance Qualité de production des panneaux ;</w:t>
      </w:r>
    </w:p>
    <w:p>
      <w:pPr>
        <w:pPr/>
        <w:numPr>
          <w:ilvl w:val="0"/>
          <w:numId w:val="18"/>
        </w:numPr>
      </w:pPr>
      <w:r>
        <w:rPr/>
        <w:t xml:space="preserve">Joindre les certificats de suivi de l'organisme extérieur et le dernier rapport d'audit externe.</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21/04/2022</w:t>
      </w:r>
    </w:p>
    <w:p>
      <w:pPr/>
      <w:r>
        <w:rPr>
          <w:b/>
          <w:bCs/>
        </w:rPr>
        <w:t xml:space="preserve">Description</w:t>
      </w:r>
    </w:p>
    <w:p>
      <w:pPr/>
      <w:r>
        <w:rPr/>
        <w:t xml:space="preserve">Détailler la méthode de calcul du module d'inertie efficace du panneau. </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fonctionnent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 (calibration par essais). La méthode de calcul de la rigidité efficace des panneaux CLT est également présentée dans le Cahier 3802_P2 §2.6.1.</w:t>
      </w:r>
    </w:p>
    <w:p>
      <w:pPr/>
      <w:r>
        <w:rPr>
          <w:b/>
          <w:bCs/>
        </w:rPr>
        <w:t xml:space="preserve">Justification</w:t>
      </w:r>
    </w:p>
    <w:p>
      <w:pPr/>
      <w:r>
        <w:rPr/>
        <w:t xml:space="preserve">-Essais de flexion permettant de calibrer la méthode de calcul. </w:t>
      </w:r>
    </w:p>
    <w:p>
      <w:pPr/>
      <w:r>
        <w:rPr/>
        <w:t xml:space="preserve">-Une note de calcul est attendue (les notes de calculs devront faire apparaitre tous les paramètres de modélisation des panneaux ainsi que les conditions de participation des plis transverses des panneaux).</w:t>
      </w:r>
    </w:p>
    <w:p>
      <w:pPr>
        <w:ind w:left="720" w:right="0"/>
      </w:pPr>
      <w:r>
        <w:rPr>
          <w:rStyle w:val="font_h2"/>
        </w:rPr>
        <w:t xml:space="preserve">6.2. Dimensionnement des murs</w:t>
      </w:r>
    </w:p>
    <w:p>
      <w:pPr>
        <w:ind w:left="1440" w:right="0"/>
      </w:pPr>
      <w:r>
        <w:rPr>
          <w:rStyle w:val="font_h3"/>
        </w:rPr>
        <w:t xml:space="preserve">6.2.1. Vérification sous charges verticales</w:t>
      </w:r>
    </w:p>
    <w:p>
      <w:pPr/>
      <w:r>
        <w:rPr/>
        <w:t xml:space="preserve">Validé par le Groupe Spécialisé le 21/04/2022</w:t>
      </w:r>
    </w:p>
    <w:p>
      <w:pPr/>
      <w:r>
        <w:rPr>
          <w:b/>
          <w:bCs/>
        </w:rPr>
        <w:t xml:space="preserve">Description</w:t>
      </w:r>
    </w:p>
    <w:p>
      <w:pPr/>
      <w:r>
        <w:rPr/>
        <w:t xml:space="preserve">Détailler la méthode de dimensionnement des murs sous charges verticales. </w:t>
      </w:r>
    </w:p>
    <w:p>
      <w:pPr/>
      <w:r>
        <w:rPr/>
        <w:t xml:space="preserve">Cette vérification se fait conformément au §6.1.2 et §6.1.4 de la norme NF EN 1995-1-1 ou au §4.3.3 du Cahier 3802_P2, en ne prenant en compte que les plis travaillants (les plis dont le sens des fibres est parallèle au sens l’effort). 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6.2.2. Vérification sous charges horizontales perpendiculaires au plan du panneau</w:t>
      </w:r>
    </w:p>
    <w:p>
      <w:pPr/>
      <w:r>
        <w:rPr/>
        <w:t xml:space="preserve">Validé par le Groupe Spécialisé le 21/04/2022</w:t>
      </w:r>
    </w:p>
    <w:p>
      <w:pPr/>
      <w:r>
        <w:rPr>
          <w:b/>
          <w:bCs/>
        </w:rPr>
        <w:t xml:space="preserve">Description</w:t>
      </w:r>
    </w:p>
    <w:p>
      <w:pPr/>
      <w:r>
        <w:rPr/>
        <w:t xml:space="preserve">Détailler la méthode de dimensionnement des murs sous charges horizontales perpendiculaires au plan du panneau. </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6.2.3. Vérification sous charges verticales et horizontales perpendiculaires au plan du panneau combinée</w:t>
      </w:r>
    </w:p>
    <w:p>
      <w:pPr/>
      <w:r>
        <w:rPr/>
        <w:t xml:space="preserve">Validé par le Groupe Spécialisé le 21/04/2022</w:t>
      </w:r>
    </w:p>
    <w:p>
      <w:pPr/>
      <w:r>
        <w:rPr>
          <w:b/>
          <w:bCs/>
        </w:rPr>
        <w:t xml:space="preserve">Description</w:t>
      </w:r>
    </w:p>
    <w:p>
      <w:pPr/>
      <w:r>
        <w:rPr/>
        <w:t xml:space="preserve">Détailler la méthode de dimensionnement des murs sous charges verticales et horizontales perpendiculaires au plan du panneau combinées. </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6.2.4. Vérifications sous charges verticales ponctuelles</w:t>
      </w:r>
    </w:p>
    <w:p>
      <w:pPr/>
      <w:r>
        <w:rPr/>
        <w:t xml:space="preserve">Validé par le Groupe Spécialisé le 21/04/2022</w:t>
      </w:r>
    </w:p>
    <w:p>
      <w:pPr/>
      <w:r>
        <w:rPr>
          <w:b/>
          <w:bCs/>
        </w:rPr>
        <w:t xml:space="preserve">Description</w:t>
      </w:r>
    </w:p>
    <w:p>
      <w:pPr/>
      <w:r>
        <w:rPr/>
        <w:t xml:space="preserve">Détailler la méthode de calcul adoptée sous charges ponctuelles.Cette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6.2.5. Reprise des efforts de compression oblique</w:t>
      </w:r>
    </w:p>
    <w:p>
      <w:pPr/>
      <w:r>
        <w:rPr/>
        <w:t xml:space="preserve">Validé par le Groupe Spécialisé le 21/04/2022</w:t>
      </w:r>
    </w:p>
    <w:p>
      <w:pPr/>
      <w:r>
        <w:rPr>
          <w:b/>
          <w:bCs/>
        </w:rPr>
        <w:t xml:space="preserve">Description</w:t>
      </w:r>
    </w:p>
    <w:p>
      <w:pPr/>
      <w:r>
        <w:rPr/>
        <w:t xml:space="preserve">Détailler la méthode de calcul vis à vis des efforts de compression obliques. </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6.2.6. Reprises des efforts de contreventement</w:t>
      </w:r>
    </w:p>
    <w:p>
      <w:pPr/>
      <w:r>
        <w:rPr/>
        <w:t xml:space="preserve">Validé par le Groupe Spécialisé le 21/04/2022</w:t>
      </w:r>
    </w:p>
    <w:p>
      <w:pPr/>
      <w:r>
        <w:rPr>
          <w:b/>
          <w:bCs/>
        </w:rPr>
        <w:t xml:space="preserve">Description</w:t>
      </w:r>
    </w:p>
    <w:p>
      <w:pPr/>
      <w:r>
        <w:rPr/>
        <w:t xml:space="preserve">Détailler le principe de dimensionnement des panneaux pour la reprise des efforts de contreventement. </w:t>
      </w:r>
    </w:p>
    <w:p>
      <w:pPr/>
      <w:r>
        <w:rPr/>
        <w:t xml:space="preserve">Lorsque des panneaux bois sont utilisés pour assurer le contreventement, il est possible :</w:t>
      </w:r>
    </w:p>
    <w:p>
      <w:pPr/>
      <w:r>
        <w:rPr/>
        <w:t xml:space="preserve">•   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r>
        <w:rPr/>
        <w:t xml:space="preserve">•   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adjacents est vérifié conformément au §8.2 de la norme NF EN 1995-1-1.</w:t>
      </w:r>
    </w:p>
    <w:p>
      <w:pPr/>
      <w:r>
        <w:rPr/>
        <w:t xml:space="preserve">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6.2.7. Vérification de la capacité de résistance au cisaillement des panneaux sous charges horizontales dans le plan du panneau</w:t>
      </w:r>
    </w:p>
    <w:p>
      <w:pPr/>
      <w:r>
        <w:rPr/>
        <w:t xml:space="preserve">Validé par le Groupe Spécialisé le 14/02/2019</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Il faut donc vérifier :</w:t>
      </w:r>
    </w:p>
    <w:p>
      <w:pPr>
        <w:pPr/>
        <w:numPr>
          <w:ilvl w:val="0"/>
          <w:numId w:val="19"/>
        </w:numPr>
      </w:pPr>
      <w:r>
        <w:rPr/>
        <w:t xml:space="preserve">Le cisaillement global du panneau ;</w:t>
      </w:r>
    </w:p>
    <w:p>
      <w:pPr>
        <w:pPr/>
        <w:numPr>
          <w:ilvl w:val="0"/>
          <w:numId w:val="19"/>
        </w:numPr>
      </w:pPr>
      <w:r>
        <w:rPr/>
        <w:t xml:space="preserve">Le cisaillement des jonctions entre planches ;</w:t>
      </w:r>
    </w:p>
    <w:p>
      <w:pPr>
        <w:pPr/>
        <w:numPr>
          <w:ilvl w:val="0"/>
          <w:numId w:val="19"/>
        </w:numPr>
      </w:pPr>
      <w:r>
        <w:rPr/>
        <w:t xml:space="preserve">Le cisaillement des plans de croisement.</w:t>
      </w:r>
    </w:p>
    <w:p>
      <w:pPr/>
      <w:r>
        <w:rPr/>
        <w:t xml:space="preserve">La méthode de calcul vis-à-vis de ces 3 modes de rupture devra être détaillée.</w:t>
      </w:r>
    </w:p>
    <w:p>
      <w:pPr/>
      <w:r>
        <w:rPr>
          <w:b/>
          <w:bCs/>
        </w:rPr>
        <w:t xml:space="preserve">Justification</w:t>
      </w:r>
    </w:p>
    <w:p>
      <w:pPr/>
      <w:r>
        <w:rPr/>
        <w:t xml:space="preserve">Une note de calcul est attendue</w:t>
      </w:r>
    </w:p>
    <w:p>
      <w:pPr>
        <w:ind w:left="1440" w:right="0"/>
      </w:pPr>
      <w:r>
        <w:rPr>
          <w:rStyle w:val="font_h3"/>
        </w:rPr>
        <w:t xml:space="preserve">6.2.8. Vérifications des linteaux</w:t>
      </w:r>
    </w:p>
    <w:p>
      <w:pPr/>
      <w:r>
        <w:rPr/>
        <w:t xml:space="preserve">Validé par le Groupe Spécialisé le 21/04/2022</w:t>
      </w:r>
    </w:p>
    <w:p>
      <w:pPr/>
      <w:r>
        <w:rPr>
          <w:b/>
          <w:bCs/>
        </w:rPr>
        <w:t xml:space="preserve">Description</w:t>
      </w:r>
    </w:p>
    <w:p>
      <w:pPr/>
      <w:r>
        <w:rPr/>
        <w:t xml:space="preserve">Détailler la méthode de vérification des linteaux en distinguant les différents types de linteaux. </w:t>
      </w:r>
    </w:p>
    <w:p>
      <w:pPr/>
      <w:r>
        <w:rPr/>
        <w:t xml:space="preserve">On considère deux types de linteau :</w:t>
      </w:r>
    </w:p>
    <w:p>
      <w:pPr>
        <w:pPr/>
        <w:numPr>
          <w:ilvl w:val="0"/>
          <w:numId w:val="20"/>
        </w:numPr>
      </w:pPr>
      <w:r>
        <w:rPr/>
        <w:t xml:space="preserve">Le linteau intégré au panneau bois (ouverture dans le panneau) ;</w:t>
      </w:r>
    </w:p>
    <w:p>
      <w:pPr>
        <w:pPr/>
        <w:numPr>
          <w:ilvl w:val="0"/>
          <w:numId w:val="20"/>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w:t>
      </w:r>
    </w:p>
    <w:p>
      <w:pPr/>
      <w:r>
        <w:rPr/>
        <w:t xml:space="preserve">Dans le cas où un des poteaux n’est pas suffisamment large pour reprendre ces sollicitations, on considèrera alors que le linteau est encastré d’un côté et appuyé de l’autre.</w:t>
      </w:r>
    </w:p>
    <w:p>
      <w:pPr/>
      <w:r>
        <w:rPr/>
        <w:t xml:space="preserve">Lorsque ces conditions ne sont pas respectées ou lorsque le linteau est une pièce rapportée, on le considérera comme simplement appuyé.Dans ce derniers cas, il faudra vérifier le déversement du linteau conformément au §6.3.3 de la norme NF EN 1995-1-1.</w:t>
      </w:r>
    </w:p>
    <w:p>
      <w:pPr/>
      <w:r>
        <w:rPr/>
        <w:t xml:space="preserve">Il conviendra de vérifier la déformation des linteaux conformément au NF DTU 31.2.</w:t>
      </w:r>
    </w:p>
    <w:p>
      <w:pPr/>
      <w:r>
        <w:rPr/>
        <w:t xml:space="preserve">La vérification des poteaux formant l’ouverture sera faite conformément au §6.3.2 de la norme NF EN 1995-1-1.</w:t>
      </w:r>
    </w:p>
    <w:p>
      <w:pPr/>
      <w:r>
        <w:rPr/>
        <w:t xml:space="preserve">La vérification peut être également réalisée conformément au §4.3.6 du Cahier 3802_P2.</w:t>
      </w:r>
    </w:p>
    <w:p>
      <w:pPr/>
      <w:r>
        <w:rPr>
          <w:b/>
          <w:bCs/>
        </w:rPr>
        <w:t xml:space="preserve">Justification</w:t>
      </w:r>
    </w:p>
    <w:p>
      <w:pPr/>
      <w:r>
        <w:rPr/>
        <w:t xml:space="preserve">Une méthode de dimensionnement ainsi qu'une note de calcul sont attendues</w:t>
      </w:r>
    </w:p>
    <w:p>
      <w:pPr>
        <w:ind w:left="1440" w:right="0"/>
      </w:pPr>
      <w:r>
        <w:rPr>
          <w:rStyle w:val="font_h3"/>
        </w:rPr>
        <w:t xml:space="preserve">6.2.9. Organes de fixation</w:t>
      </w:r>
    </w:p>
    <w:p>
      <w:pPr/>
      <w:r>
        <w:rPr/>
        <w:t xml:space="preserve">Validé par le Groupe Spécialisé le 14/02/2019</w:t>
      </w:r>
    </w:p>
    <w:p>
      <w:pPr/>
      <w:r>
        <w:rPr>
          <w:b/>
          <w:bCs/>
        </w:rPr>
        <w:t xml:space="preserve">Description</w:t>
      </w:r>
    </w:p>
    <w:p>
      <w:pPr/>
      <w:r>
        <w:rPr/>
        <w:t xml:space="preserve">Détailler les méthodes de dimensionnement des organes de fixation pour l'assemblage des panneaux entre eux ou avec d'autres éléments.</w:t>
      </w:r>
    </w:p>
    <w:p>
      <w:pPr/>
      <w:r>
        <w:rPr/>
        <w:t xml:space="preserve">Les organes de fixation métalliques de type tige utilisés pour l’assemblage de panneaux structuraux massifs bois entre eux ou avec d’autres éléments de l’ouvrage font l’objet : </w:t>
      </w:r>
    </w:p>
    <w:p>
      <w:pPr/>
      <w:r>
        <w:rPr/>
        <w:t xml:space="preserve">▪ d’un marquage CE selon la NF EN 14592, lorsque l’organe ne traverse pas plus de deux plans de cisaillement </w:t>
      </w:r>
    </w:p>
    <w:p>
      <w:pPr/>
      <w:r>
        <w:rPr/>
        <w:t xml:space="preserve">▪ d’un ATE ou d’une ETE visant la fixation dans un panneau structural massif bois lorsque l’organe traverse plus de deux plans de cisaillement.</w:t>
      </w:r>
    </w:p>
    <w:p>
      <w:pPr/>
      <w:r>
        <w:rPr>
          <w:rStyle w:val="font_h1"/>
        </w:rPr>
        <w:t xml:space="preserve">7. Dimensionnement en zone sismique</w:t>
      </w:r>
    </w:p>
    <w:p>
      <w:pPr/>
      <w:r>
        <w:rPr/>
        <w:t xml:space="preserve">Validé par le Groupe Spécialisé le 14/02/2019</w:t>
      </w:r>
    </w:p>
    <w:p>
      <w:pPr/>
      <w:r>
        <w:rPr>
          <w:b/>
          <w:bCs/>
        </w:rPr>
        <w:t xml:space="preserve">Description</w:t>
      </w:r>
    </w:p>
    <w:p>
      <w:pPr/>
      <w:r>
        <w:rPr/>
        <w:t xml:space="preserve">Détailler les principes de conception et de dimensionnement du procédé en situation sismique. </w:t>
      </w:r>
    </w:p>
    <w:p>
      <w:pPr/>
      <w:r>
        <w:rPr>
          <w:b/>
          <w:bCs/>
        </w:rPr>
        <w:t xml:space="preserve">Jurisprudence GS3.2</w:t>
      </w:r>
      <w:r>
        <w:rPr/>
        <w:t xml:space="preserve"> </w:t>
      </w:r>
    </w:p>
    <w:p>
      <w:pPr/>
      <w:r>
        <w:rPr/>
        <w:t xml:space="preserve">La justification en zone sismique des structures assemblées par panneaux bois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 Le spectre de calcul est déterminé à partir du spectre  en appliquant un coefficient de comportement q=2,0 pour la classe DCM et q=1,5 pour la classe DCL.</w:t>
      </w:r>
    </w:p>
    <w:p>
      <w:pPr/>
      <w:r>
        <w:rPr/>
        <w:t xml:space="preserve">Les critères de régularité en plan et en élévation de la norme NF EN 1998-1-1 (cf. §4.2.3) doivent être strictement respectés et faire l’objet d’une vérification. Toutefois, les bâtiments non-réguliers en  élévation sont admis, en menant les justifications avec un coefficient de comportement abaissé de 20%.</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(vis de liaison, équerres, etc.) au regard des efforts de cisaillement engendrés par l’action sismique. A ce titre, il convient : </w:t>
      </w:r>
    </w:p>
    <w:p>
      <w:pPr>
        <w:pPr/>
        <w:numPr>
          <w:ilvl w:val="0"/>
          <w:numId w:val="21"/>
        </w:numPr>
      </w:pPr>
      <w:r>
        <w:rPr/>
        <w:t xml:space="preserve">de hiérarchiser les zones de rupture dans les organes d’assemblage des panneaux en vérifiant la résistance suffisante des panneaux dont la rupture en cisaillement est considérée fragile ; </w:t>
      </w:r>
    </w:p>
    <w:p>
      <w:pPr>
        <w:pPr/>
        <w:numPr>
          <w:ilvl w:val="0"/>
          <w:numId w:val="2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2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fixés de la classe de ductilité M au §8.3(3)P de la norme NF EN 1998-1-1 ; </w:t>
      </w:r>
    </w:p>
    <w:p>
      <w:pPr>
        <w:pPr/>
        <w:numPr>
          <w:ilvl w:val="0"/>
          <w:numId w:val="21"/>
        </w:numPr>
      </w:pPr>
      <w:r>
        <w:rPr/>
        <w:t xml:space="preserve">de s’assurer que le dimensionnement des ancrages de panneaux sera réalisé en appliquant les principes du dimensionnement en capacité de la norme NF EN 1998-1 en considérant un coefficient de sur-résistance pour l’ancrage tel que défini au §4.4.2.6 de cette norme ;</w:t>
      </w:r>
    </w:p>
    <w:p>
      <w:pPr>
        <w:pPr/>
        <w:numPr>
          <w:ilvl w:val="0"/>
          <w:numId w:val="21"/>
        </w:numPr>
      </w:pPr>
      <w:r>
        <w:rPr/>
        <w:t xml:space="preserve">de s’assurer que le dimensionnement des ancrages de panneaux est réalisé en appliquant les principes du dimensionnement en capacité de la norme NF EN 1998-1 en considérant un coefficient de sur-résistance pour l’ancrage γrd = 1,3 pour les murs formés d’un seul panneau continu et γrd = 1,6 pour les murs formés de plusieurs panneaux assemblés par des vis. </w:t>
      </w:r>
    </w:p>
    <w:p>
      <w:pPr/>
      <w:r>
        <w:rPr/>
        <w:t xml:space="preserve">La justification des panneaux utilisés en murs de contreventement en zone sismique doit être effectuée en :</w:t>
      </w:r>
    </w:p>
    <w:p>
      <w:pPr>
        <w:pPr/>
        <w:numPr>
          <w:ilvl w:val="0"/>
          <w:numId w:val="22"/>
        </w:numPr>
      </w:pPr>
      <w:r>
        <w:rPr/>
        <w:t xml:space="preserve">menant les vérifications précisées ci-dessus ;</w:t>
      </w:r>
    </w:p>
    <w:p>
      <w:pPr>
        <w:pPr/>
        <w:numPr>
          <w:ilvl w:val="0"/>
          <w:numId w:val="22"/>
        </w:numPr>
      </w:pPr>
      <w:r>
        <w:rPr/>
        <w:t xml:space="preserve">réalisant la fixation au support béton des panneaux au soubassement béton par des chevilles bénéficiant d’une Evaluation Technique Européenne pour une utilisation en béton fissuré ; limiter la capacité résistante en cisaillement de ces chevilles à la moitié de celles indiquée dans l’ETE sous sollicitation statique ; considérer un diagramme d’interaction linéaire pour justifier les chevilles sous charges combinées de traction et de cisaillement.</w:t>
      </w:r>
    </w:p>
    <w:p>
      <w:pPr/>
      <w:r>
        <w:rPr>
          <w:b/>
          <w:bCs/>
        </w:rPr>
        <w:t xml:space="preserve">Justification</w:t>
      </w:r>
    </w:p>
    <w:p>
      <w:pPr/>
      <w:r>
        <w:rPr/>
        <w:t xml:space="preserve">Une note de calcul est attendue sur un ouvrage représentatif du domaine d'emploi visé.</w:t>
      </w:r>
    </w:p>
    <w:p>
      <w:pPr/>
      <w:r>
        <w:rPr>
          <w:rStyle w:val="font_h1"/>
        </w:rPr>
        <w:t xml:space="preserve">8. Levage et manutention</w:t>
      </w:r>
    </w:p>
    <w:p>
      <w:pPr/>
      <w:r>
        <w:rPr/>
        <w:t xml:space="preserve">Validé par le Groupe Spécialisé le 14/02/2024</w:t>
      </w:r>
    </w:p>
    <w:p>
      <w:pPr/>
      <w:r>
        <w:rPr>
          <w:b/>
          <w:bCs/>
        </w:rPr>
        <w:t xml:space="preserve">Description</w:t>
      </w:r>
    </w:p>
    <w:p>
      <w:pPr/>
      <w:r>
        <w:rPr/>
        <w:t xml:space="preserve">Description des moyens utilisés pour la manutention et levage des panneaux en usine et/ou sur chantier (organes de levage).</w:t>
      </w:r>
    </w:p>
    <w:p>
      <w:pPr/>
      <w:r>
        <w:rPr>
          <w:rStyle w:val="font_h1"/>
        </w:rPr>
        <w:t xml:space="preserve">9. Dispositions constructives</w:t>
      </w:r>
    </w:p>
    <w:p>
      <w:pPr/>
      <w:r>
        <w:rPr/>
        <w:t xml:space="preserve">Validé par le Groupe Spécialisé le 14/02/2019</w:t>
      </w:r>
    </w:p>
    <w:p>
      <w:pPr/>
      <w:r>
        <w:rPr>
          <w:b/>
          <w:bCs/>
        </w:rPr>
        <w:t xml:space="preserve">Description</w:t>
      </w:r>
    </w:p>
    <w:p>
      <w:pPr/>
      <w:r>
        <w:rPr/>
        <w:t xml:space="preserve">Description des modalités d’assemblage entre panneaux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10. Sécurité en situation d'incendie</w:t>
      </w:r>
    </w:p>
    <w:p>
      <w:pPr>
        <w:ind w:left="720" w:right="0"/>
      </w:pPr>
      <w:r>
        <w:rPr>
          <w:rStyle w:val="font_h2"/>
        </w:rPr>
        <w:t xml:space="preserve">10.1. Réaction au feu</w:t>
      </w:r>
    </w:p>
    <w:p>
      <w:pPr/>
      <w:r>
        <w:rPr/>
        <w:t xml:space="preserve">Validé par le Groupe Spécialisé le 10/10/2024</w:t>
      </w:r>
    </w:p>
    <w:p>
      <w:pPr/>
      <w:r>
        <w:rPr>
          <w:b/>
          <w:bCs/>
        </w:rPr>
        <w:t xml:space="preserve">Description</w:t>
      </w:r>
    </w:p>
    <w:p>
      <w:pPr/>
      <w:r>
        <w:rPr/>
        <w:t xml:space="preserve">Pour la réaction au feu, les panneaux bois bruts bénéficient d'un classement conventionnel en réaction  au feu D-s2,d0 conformément à la norme NF EN 13501-1. L'adéquation entre ce classement et les exigences réglementaires doit être examinée au cas par cas en fonction du type de bâtiment et de l'emplacement du panneau dans l'ouvrage.</w:t>
      </w:r>
    </w:p>
    <w:p>
      <w:pPr>
        <w:ind w:left="720" w:right="0"/>
      </w:pPr>
      <w:r>
        <w:rPr>
          <w:rStyle w:val="font_h2"/>
        </w:rPr>
        <w:t xml:space="preserve">10.2. Résistance au feu</w:t>
      </w:r>
    </w:p>
    <w:p>
      <w:pPr>
        <w:ind w:left="1440" w:right="0"/>
      </w:pPr>
      <w:r>
        <w:rPr>
          <w:rStyle w:val="font_h3"/>
        </w:rPr>
        <w:t xml:space="preserve">10.2.1. Généralités</w:t>
      </w:r>
    </w:p>
    <w:p>
      <w:pPr/>
      <w:r>
        <w:rPr/>
        <w:t xml:space="preserve">Validé par le Groupe Spécialisé le 10/10/2024</w:t>
      </w:r>
    </w:p>
    <w:p>
      <w:pPr/>
      <w:r>
        <w:rPr>
          <w:b/>
          <w:bCs/>
        </w:rPr>
        <w:t xml:space="preserve">Description</w:t>
      </w:r>
    </w:p>
    <w:p>
      <w:pPr/>
      <w:r>
        <w:rPr/>
        <w:t xml:space="preserve">Le dimensionnement du procédé en cas d'incendie devra être justifié conformément à la règlementation en vigueur (PV feu et/ou appréciation de laboratoire). Il devra couvrir par exemple les points suivants : </w:t>
      </w:r>
    </w:p>
    <w:p>
      <w:pPr>
        <w:pPr/>
        <w:numPr>
          <w:ilvl w:val="0"/>
          <w:numId w:val="23"/>
        </w:numPr>
      </w:pPr>
      <w:r>
        <w:rPr/>
        <w:t xml:space="preserve">Justification de la stabilité au feu du mur ;</w:t>
      </w:r>
    </w:p>
    <w:p>
      <w:pPr>
        <w:pPr/>
        <w:numPr>
          <w:ilvl w:val="0"/>
          <w:numId w:val="23"/>
        </w:numPr>
      </w:pPr>
      <w:r>
        <w:rPr/>
        <w:t xml:space="preserve">Dispositions constructives permettant d'éviter la propagation du feu.</w:t>
      </w:r>
    </w:p>
    <w:p>
      <w:pPr>
        <w:ind w:left="1440" w:right="0"/>
      </w:pPr>
      <w:r>
        <w:rPr>
          <w:rStyle w:val="font_h3"/>
        </w:rPr>
        <w:t xml:space="preserve">10.2.2. Justification de la stabilité au feu du mur</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w:t>
      </w:r>
    </w:p>
    <w:p>
      <w:pPr/>
      <w:r>
        <w:rPr>
          <w:b/>
          <w:bCs/>
        </w:rPr>
        <w:t xml:space="preserve">Justification</w:t>
      </w:r>
    </w:p>
    <w:p>
      <w:pPr/>
      <w:r>
        <w:rPr/>
        <w:t xml:space="preserve">Un Procès-Verbal de résistance ou une Appréciation de laboratoire de résistance au feu établi par un laboratoire agréé, couvrant les produits et leurs utilisations (vis-à-vis de la réglementation incendie en vigueur), en précisant les dimensions limites des panneaux, les revêtements, le type et le niveau de chargement.</w:t>
      </w:r>
    </w:p>
    <w:p>
      <w:pPr>
        <w:ind w:left="1440" w:right="0"/>
      </w:pPr>
      <w:r>
        <w:rPr>
          <w:rStyle w:val="font_h3"/>
        </w:rPr>
        <w:t xml:space="preserve">10.2.3. Dispositions constructives permettant d’éviter la propagation du feu</w:t>
      </w:r>
    </w:p>
    <w:p>
      <w:pPr/>
      <w:r>
        <w:rPr/>
        <w:t xml:space="preserve">Validé par le Groupe Spécialisé le 10/10/2024</w:t>
      </w:r>
    </w:p>
    <w:p>
      <w:pPr/>
      <w:r>
        <w:rPr>
          <w:b/>
          <w:bCs/>
        </w:rPr>
        <w:t xml:space="preserve">Description</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Technique.Les éléments non visés explicitement par l'Appréciation de Laboratoire au Feu devront être clairement indiqués dans l'Avis Technique.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visés, les revêtements, le type et le niveau de chargement.</w:t>
      </w:r>
    </w:p>
    <w:p>
      <w:pPr/>
      <w:r>
        <w:rPr>
          <w:rStyle w:val="font_h1"/>
        </w:rPr>
        <w:t xml:space="preserve">11. Performances thermiques</w:t>
      </w:r>
    </w:p>
    <w:p>
      <w:pPr/>
      <w:r>
        <w:rPr/>
        <w:t xml:space="preserve">Validé par le Groupe Spécialisé le 14/02/2019</w:t>
      </w:r>
    </w:p>
    <w:p>
      <w:pPr/>
      <w:r>
        <w:rPr>
          <w:b/>
          <w:bCs/>
        </w:rPr>
        <w:t xml:space="preserve">Description</w:t>
      </w:r>
    </w:p>
    <w:p>
      <w:pPr/>
      <w:r>
        <w:rPr/>
        <w:t xml:space="preserve">Détailler les méthodes de détermination des performances thermiques du procédé. </w:t>
      </w:r>
    </w:p>
    <w:p>
      <w:pPr/>
      <w:r>
        <w:rPr/>
        <w:t xml:space="preserve">Préciser les dispositions adoptées pour justifier l'absence de risque de condensation.</w:t>
      </w:r>
    </w:p>
    <w:p>
      <w:pPr/>
      <w:r>
        <w:rPr>
          <w:b/>
          <w:bCs/>
        </w:rPr>
        <w:t xml:space="preserve">Jurisprudence GS3.2</w:t>
      </w:r>
      <w:r>
        <w:rPr/>
        <w:t xml:space="preserve"> </w:t>
      </w:r>
    </w:p>
    <w:p>
      <w:pPr/>
      <w:r>
        <w:rPr/>
        <w:t xml:space="preserve">Un pare-vapeur sera systématiquement mis en œuvre sur la face du panneau exposée au climat intérieur (entre le panneau et l'ouvrage en plaque de plâtre). La valeur de Sd (épaisseur de lame d’air équivalente) du pare-vapeur sera au minimum de 18m lorsque le revêtement extérieur est ventilé et de 90m dans le cas contraire.</w:t>
      </w:r>
    </w:p>
    <w:p>
      <w:pPr/>
      <w:r>
        <w:rPr>
          <w:rStyle w:val="font_h1"/>
        </w:rPr>
        <w:t xml:space="preserve">12. Performances acoustiques</w:t>
      </w:r>
    </w:p>
    <w:p>
      <w:pPr/>
      <w:r>
        <w:rPr/>
        <w:t xml:space="preserve">Validé par le Groupe Spécialisé le 14/02/2019</w:t>
      </w:r>
    </w:p>
    <w:p>
      <w:pPr/>
      <w:r>
        <w:rPr>
          <w:b/>
          <w:bCs/>
        </w:rPr>
        <w:t xml:space="preserve">Description</w:t>
      </w:r>
    </w:p>
    <w:p>
      <w:pPr/>
      <w:r>
        <w:rPr/>
        <w:t xml:space="preserve">En fonction du domaine d’emploi, des performances acoustiques peuvent être nécessaire vis-à-vis de l’isolement au bruit aérien (selon la règlementation acoustique en vigueur).</w:t>
      </w:r>
    </w:p>
    <w:p>
      <w:pPr/>
      <w:r>
        <w:rPr>
          <w:b/>
          <w:bCs/>
        </w:rPr>
        <w:t xml:space="preserve">Justification</w:t>
      </w:r>
    </w:p>
    <w:p>
      <w:pPr>
        <w:pPr/>
        <w:numPr>
          <w:ilvl w:val="0"/>
          <w:numId w:val="24"/>
        </w:numPr>
      </w:pPr>
      <w:r>
        <w:rPr/>
        <w:t xml:space="preserve">Rapports d'essais de détermination des indices d'affaiblissement acoustique des murs daté de moins de 10 ans;</w:t>
      </w:r>
    </w:p>
    <w:p>
      <w:pPr>
        <w:pPr/>
        <w:numPr>
          <w:ilvl w:val="0"/>
          <w:numId w:val="24"/>
        </w:numPr>
      </w:pPr>
      <w:r>
        <w:rPr/>
        <w:t xml:space="preserve">PV acoustique donnant l'indice d'affaiblissement global Rw des panneaux.</w:t>
      </w:r>
    </w:p>
    <w:p>
      <w:pPr/>
      <w:r>
        <w:rPr>
          <w:rStyle w:val="font_h1"/>
        </w:rPr>
        <w:t xml:space="preserve">13. Protection des panneaux</w:t>
      </w:r>
    </w:p>
    <w:p>
      <w:pPr/>
      <w:r>
        <w:rPr/>
        <w:t xml:space="preserve">Validé par le Groupe Spécialisé le 21/04/2022</w:t>
      </w:r>
    </w:p>
    <w:p>
      <w:pPr/>
      <w:r>
        <w:rPr>
          <w:b/>
          <w:bCs/>
        </w:rPr>
        <w:t xml:space="preserve">Description</w:t>
      </w:r>
    </w:p>
    <w:p>
      <w:pPr/>
      <w:r>
        <w:rPr/>
        <w:t xml:space="preserve">Détailler les modalités de protection contre la pluie et l'humidité des panneaux sur chantier. </w:t>
      </w:r>
    </w:p>
    <w:p>
      <w:pPr/>
      <w:r>
        <w:rPr/>
        <w:t xml:space="preserve">Lorsque les panneaux bois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Assistance technique</w:t>
      </w:r>
    </w:p>
    <w:p>
      <w:pPr/>
      <w:r>
        <w:rPr/>
        <w:t xml:space="preserve">Validé par le Groupe Spécialisé le 14/02/2019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selon les prescriptions du dossier technique.</w:t>
      </w:r>
    </w:p>
    <w:p>
      <w:pPr/>
      <w:r>
        <w:rPr>
          <w:b/>
          <w:bCs/>
        </w:rPr>
        <w:t xml:space="preserve">Justification</w:t>
      </w:r>
    </w:p>
    <w:p>
      <w:pPr/>
      <w:r>
        <w:rPr/>
        <w:t xml:space="preserve">Joindre une liste de Bureau d'Etudes ayants les capacités de dimensionner les panneaux selon le dossier technique.</w:t>
      </w:r>
    </w:p>
    <w:p>
      <w:pPr/>
      <w:r>
        <w:rPr>
          <w:rStyle w:val="font_h1"/>
        </w:rPr>
        <w:t xml:space="preserve">15. Données environnementales et sanitaires</w:t>
      </w:r>
    </w:p>
    <w:p>
      <w:pPr/>
      <w:r>
        <w:rPr/>
        <w:t xml:space="preserve">Validé par le Groupe Spécialisé le 14/02/2019</w:t>
      </w:r>
    </w:p>
    <w:p>
      <w:pPr/>
      <w:r>
        <w:rPr>
          <w:b/>
          <w:bCs/>
        </w:rPr>
        <w:t xml:space="preserve">Description</w:t>
      </w:r>
    </w:p>
    <w:p>
      <w:pPr/>
      <w:r>
        <w:rPr/>
        <w:t xml:space="preserve">Préciser si le procédé de panneau bois fait l’objet d’une Déclaration Environnementale (DE) au sens de l’arrêté du 31 aout 2015.</w:t>
      </w:r>
    </w:p>
    <w:p>
      <w:pPr/>
      <w:r>
        <w:rPr>
          <w:rStyle w:val="font_h1"/>
        </w:rPr>
        <w:t xml:space="preserve">16. Tableaux et figures du Dossier Technique</w:t>
      </w:r>
    </w:p>
    <w:p>
      <w:pPr/>
      <w:r>
        <w:rPr/>
        <w:t xml:space="preserve">Validé par le Groupe Spécialisé le 14/02/2019</w:t>
      </w:r>
    </w:p>
    <w:p>
      <w:pPr/>
      <w:r>
        <w:rPr>
          <w:b/>
          <w:bCs/>
        </w:rPr>
        <w:t xml:space="preserve">Description</w:t>
      </w:r>
    </w:p>
    <w:p>
      <w:pPr/>
      <w:r>
        <w:rPr/>
        <w:t xml:space="preserve">Les tableaux suivants doivent être présents dans la partie « Tableaux et Figures du Dossier Technique » :</w:t>
      </w:r>
    </w:p>
    <w:p>
      <w:pPr>
        <w:pPr/>
        <w:numPr>
          <w:ilvl w:val="0"/>
          <w:numId w:val="25"/>
        </w:numPr>
      </w:pPr>
      <w:r>
        <w:rPr/>
        <w:t xml:space="preserve">Tableau présentant la gamme de panneau du fabricant (type de panneau, épaisseur, nombre de pli) ;</w:t>
      </w:r>
    </w:p>
    <w:p>
      <w:pPr>
        <w:pPr/>
        <w:numPr>
          <w:ilvl w:val="0"/>
          <w:numId w:val="25"/>
        </w:numPr>
      </w:pPr>
      <w:r>
        <w:rPr/>
        <w:t xml:space="preserve">Tableau des résistances caractéristiques des différents panneaux ;</w:t>
      </w:r>
    </w:p>
    <w:p>
      <w:pPr>
        <w:pPr/>
        <w:numPr>
          <w:ilvl w:val="0"/>
          <w:numId w:val="25"/>
        </w:numPr>
      </w:pPr>
      <w:r>
        <w:rPr/>
        <w:t xml:space="preserve">Tableau des propriétés mécaniques des planches de bois utilisées.</w:t>
      </w:r>
    </w:p>
    <w:p>
      <w:pPr/>
      <w:r>
        <w:rPr/>
        <w:t xml:space="preserve">Les figures suivantes doivent être présentes dans cette même partie :</w:t>
      </w:r>
    </w:p>
    <w:p>
      <w:pPr>
        <w:pPr/>
        <w:numPr>
          <w:ilvl w:val="0"/>
          <w:numId w:val="26"/>
        </w:numPr>
      </w:pPr>
      <w:r>
        <w:rPr/>
        <w:t xml:space="preserve">Exemples de calepinage des panneaux ;</w:t>
      </w:r>
    </w:p>
    <w:p>
      <w:pPr>
        <w:pPr/>
        <w:numPr>
          <w:ilvl w:val="0"/>
          <w:numId w:val="26"/>
        </w:numPr>
      </w:pPr>
      <w:r>
        <w:rPr/>
        <w:t xml:space="preserve">Exemples de composition de paroi de mur ;</w:t>
      </w:r>
    </w:p>
    <w:p>
      <w:pPr>
        <w:pPr/>
        <w:numPr>
          <w:ilvl w:val="0"/>
          <w:numId w:val="26"/>
        </w:numPr>
      </w:pPr>
      <w:r>
        <w:rPr/>
        <w:t xml:space="preserve">Exemples d’assemblages murs en panneaux bois/ planchers (CLT, solives, métallique, béton) ;</w:t>
      </w:r>
    </w:p>
    <w:p>
      <w:pPr>
        <w:pPr/>
        <w:numPr>
          <w:ilvl w:val="0"/>
          <w:numId w:val="26"/>
        </w:numPr>
      </w:pPr>
      <w:r>
        <w:rPr/>
        <w:t xml:space="preserve">Exemples d’assemblage murs en panneaux bois/ soubassement béton ;</w:t>
      </w:r>
    </w:p>
    <w:p>
      <w:pPr>
        <w:pPr/>
        <w:numPr>
          <w:ilvl w:val="0"/>
          <w:numId w:val="26"/>
        </w:numPr>
      </w:pPr>
      <w:r>
        <w:rPr/>
        <w:t xml:space="preserve">Exemples d’assemblages entre un mur et une cloison/ mur de refend ;</w:t>
      </w:r>
    </w:p>
    <w:p>
      <w:pPr>
        <w:pPr/>
        <w:numPr>
          <w:ilvl w:val="0"/>
          <w:numId w:val="26"/>
        </w:numPr>
      </w:pPr>
      <w:r>
        <w:rPr/>
        <w:t xml:space="preserve">Exemples d’intégration des menuiseries dans un panneau bois (linteaux, calfeutrement).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73B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3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E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32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5A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95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BD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36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24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E0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36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71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B7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52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36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98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30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C2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2026-03-13T18:11:16+01:00</dcterms:created>
  <dcterms:modified xsi:type="dcterms:W3CDTF">2026-03-13T18:11:16+01:00</dcterms:modified>
</cp:coreProperties>
</file>

<file path=docProps/custom.xml><?xml version="1.0" encoding="utf-8"?>
<Properties xmlns="http://schemas.openxmlformats.org/officeDocument/2006/custom-properties" xmlns:vt="http://schemas.openxmlformats.org/officeDocument/2006/docPropsVTypes"/>
</file>