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01/07/2026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Panneau bois à usage structural - mur</w:t>
      </w:r>
    </w:p>
    <w:p>
      <w:pPr/>
      <w:r>
        <w:rPr>
          <w:rStyle w:val="font_h1"/>
        </w:rPr>
        <w:t xml:space="preserve">1. Principe</w:t>
      </w:r>
    </w:p>
    <w:p>
      <w:pPr/>
      <w:r>
        <w:rPr/>
        <w:t xml:space="preserve">Validé par le Groupe Spécialisé le 14/02/2019</w:t>
      </w:r>
    </w:p>
    <w:p>
      <w:pPr/>
      <w:r>
        <w:rPr>
          <w:b/>
          <w:bCs/>
        </w:rPr>
        <w:t xml:space="preserve">Description</w:t>
      </w:r>
    </w:p>
    <w:p>
      <w:pPr/>
      <w:r>
        <w:rPr/>
        <w:t xml:space="preserve">Description du panneau lamellé-croisé :</w:t>
      </w:r>
    </w:p>
    <w:p>
      <w:pPr>
        <w:pPr/>
        <w:numPr>
          <w:ilvl w:val="0"/>
          <w:numId w:val="9"/>
        </w:numPr>
      </w:pPr>
      <w:r>
        <w:rPr/>
        <w:t xml:space="preserve">Classe de résistance du bois utilisé ;</w:t>
      </w:r>
    </w:p>
    <w:p>
      <w:pPr>
        <w:pPr/>
        <w:numPr>
          <w:ilvl w:val="0"/>
          <w:numId w:val="9"/>
        </w:numPr>
      </w:pPr>
      <w:r>
        <w:rPr/>
        <w:t xml:space="preserve">Nombre de couche du panneau ;</w:t>
      </w:r>
    </w:p>
    <w:p>
      <w:pPr>
        <w:pPr/>
        <w:numPr>
          <w:ilvl w:val="0"/>
          <w:numId w:val="9"/>
        </w:numPr>
      </w:pPr>
      <w:r>
        <w:rPr/>
        <w:t xml:space="preserve">Dimensions min et max du panneau ;</w:t>
      </w:r>
    </w:p>
    <w:p>
      <w:pPr>
        <w:pPr/>
        <w:numPr>
          <w:ilvl w:val="0"/>
          <w:numId w:val="9"/>
        </w:numPr>
      </w:pPr>
      <w:r>
        <w:rPr/>
        <w:t xml:space="preserve">Type de collage réalisé ou type de fixation entre planches utilisées (pointes, ...).</w:t>
      </w:r>
    </w:p>
    <w:p>
      <w:pPr/>
      <w:r>
        <w:rPr>
          <w:rStyle w:val="font_h1"/>
        </w:rPr>
        <w:t xml:space="preserve">2. Domaine d'emploi</w:t>
      </w:r>
    </w:p>
    <w:p>
      <w:pPr>
        <w:ind w:left="720" w:right="0"/>
      </w:pPr>
      <w:r>
        <w:rPr>
          <w:rStyle w:val="font_h2"/>
        </w:rPr>
        <w:t xml:space="preserve">2.1. Description du domaine d'emploi</w:t>
      </w:r>
    </w:p>
    <w:p>
      <w:pPr/>
      <w:r>
        <w:rPr/>
        <w:t xml:space="preserve">Validé par le Groupe Spécialisé le 14/02/2019</w:t>
      </w:r>
    </w:p>
    <w:p>
      <w:pPr/>
      <w:r>
        <w:rPr>
          <w:b/>
          <w:bCs/>
        </w:rPr>
        <w:t xml:space="preserve">Description</w:t>
      </w:r>
    </w:p>
    <w:p>
      <w:pPr/>
      <w:r>
        <w:rPr/>
        <w:t xml:space="preserve">Domaine d'emploi du procédé :</w:t>
      </w:r>
    </w:p>
    <w:p>
      <w:pPr/>
      <w:r>
        <w:rPr/>
        <w:t xml:space="preserve">•   Destination du procédé (ERP, bâtiments à usage d'habitation, etc...) ;</w:t>
      </w:r>
    </w:p>
    <w:p>
      <w:pPr/>
      <w:r>
        <w:rPr/>
        <w:t xml:space="preserve">•   Classe de service visée par le procédé au sens de la norme NF EN 1995-1-1 ;</w:t>
      </w:r>
    </w:p>
    <w:p>
      <w:pPr/>
      <w:r>
        <w:rPr/>
        <w:t xml:space="preserve">•   Classe d'emploi visée par le procédé au sens de la norme NF EN 335 ;</w:t>
      </w:r>
    </w:p>
    <w:p>
      <w:pPr/>
      <w:r>
        <w:rPr/>
        <w:t xml:space="preserve">•   Zones sismiques visées au sens de l’arrêté du 22 octobre 2010 modifié (I, II, III,IV ou V)  ;</w:t>
      </w:r>
    </w:p>
    <w:p>
      <w:pPr/>
      <w:r>
        <w:rPr/>
        <w:t xml:space="preserve">•   Zone géographique visée : France européenne et/ou DROM-COM ;</w:t>
      </w:r>
    </w:p>
    <w:p>
      <w:pPr/>
      <w:r>
        <w:rPr/>
        <w:t xml:space="preserve">•   Limitation aux locaux à faible ou moyenne hygrométrie à l'exclusion des locaux à forte et très forte hygrométrie, c’est à dire ceux pour lesquels W/n 5g/m3, avec : </w:t>
      </w:r>
    </w:p>
    <w:p>
      <w:pPr/>
      <w:r>
        <w:rPr/>
        <w:t xml:space="preserve">-W = quantité de vapeur d’eau produite à l’intérieur du local par heure ; </w:t>
      </w:r>
    </w:p>
    <w:p>
      <w:pPr/>
      <w:r>
        <w:rPr/>
        <w:t xml:space="preserve">-n = taux horaire de renouvellement d’air.</w:t>
      </w:r>
    </w:p>
    <w:p>
      <w:pPr>
        <w:ind w:left="720" w:right="0"/>
      </w:pPr>
      <w:r>
        <w:rPr>
          <w:rStyle w:val="font_h2"/>
        </w:rPr>
        <w:t xml:space="preserve">2.2. Liste de références chantier</w:t>
      </w:r>
    </w:p>
    <w:p>
      <w:pPr/>
      <w:r>
        <w:rPr/>
        <w:t xml:space="preserve">Validé par le Groupe Spécialisé le 21/04/2022</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0"/>
        </w:numPr>
      </w:pPr>
      <w:r>
        <w:rPr/>
        <w:t xml:space="preserve">Le type de chantier ;</w:t>
      </w:r>
    </w:p>
    <w:p>
      <w:pPr>
        <w:pPr/>
        <w:numPr>
          <w:ilvl w:val="0"/>
          <w:numId w:val="10"/>
        </w:numPr>
      </w:pPr>
      <w:r>
        <w:rPr/>
        <w:t xml:space="preserve">Le lieu ;</w:t>
      </w:r>
    </w:p>
    <w:p>
      <w:pPr>
        <w:pPr/>
        <w:numPr>
          <w:ilvl w:val="0"/>
          <w:numId w:val="10"/>
        </w:numPr>
      </w:pPr>
      <w:r>
        <w:rPr/>
        <w:t xml:space="preserve">La date de mise en œuvre ;</w:t>
      </w:r>
    </w:p>
    <w:p>
      <w:pPr>
        <w:pPr/>
        <w:numPr>
          <w:ilvl w:val="0"/>
          <w:numId w:val="10"/>
        </w:numPr>
      </w:pPr>
      <w:r>
        <w:rPr/>
        <w:t xml:space="preserve">La surface de produit utilisée.</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21/04/2022</w:t>
      </w:r>
    </w:p>
    <w:p>
      <w:pPr/>
      <w:r>
        <w:rPr>
          <w:b/>
          <w:bCs/>
        </w:rPr>
        <w:t xml:space="preserve">Description</w:t>
      </w:r>
    </w:p>
    <w:p>
      <w:pPr/>
      <w:r>
        <w:rPr/>
        <w:t xml:space="preserve">Description des planches en bois utilisées :</w:t>
      </w:r>
    </w:p>
    <w:p>
      <w:pPr>
        <w:pPr/>
        <w:numPr>
          <w:ilvl w:val="0"/>
          <w:numId w:val="11"/>
        </w:numPr>
      </w:pPr>
      <w:r>
        <w:rPr/>
        <w:t xml:space="preserve">Essences utilisées ;</w:t>
      </w:r>
    </w:p>
    <w:p>
      <w:pPr>
        <w:pPr/>
        <w:numPr>
          <w:ilvl w:val="0"/>
          <w:numId w:val="11"/>
        </w:numPr>
      </w:pPr>
      <w:r>
        <w:rPr/>
        <w:t xml:space="preserve">Géométrie des planches (dimensions et tolérances dimensionnelles) ;</w:t>
      </w:r>
    </w:p>
    <w:p>
      <w:pPr>
        <w:pPr/>
        <w:numPr>
          <w:ilvl w:val="0"/>
          <w:numId w:val="11"/>
        </w:numPr>
      </w:pPr>
      <w:r>
        <w:rPr/>
        <w:t xml:space="preserve">Caractéristiques mécaniques des planches (classes de résistance selon la norme NF EN 14081 pour le bois massif et selon la norme NF EN 14080 pour le lamellé collé) ;</w:t>
      </w:r>
    </w:p>
    <w:p>
      <w:pPr>
        <w:pPr/>
        <w:numPr>
          <w:ilvl w:val="0"/>
          <w:numId w:val="11"/>
        </w:numPr>
      </w:pPr>
      <w:r>
        <w:rPr/>
        <w:t xml:space="preserve">Aboutage des planches selon la norme NF EN 16351 ou la norme NF EN 15497.</w:t>
      </w:r>
    </w:p>
    <w:p>
      <w:pPr>
        <w:ind w:left="720" w:right="0"/>
      </w:pPr>
      <w:r>
        <w:rPr>
          <w:rStyle w:val="font_h2"/>
        </w:rPr>
        <w:t xml:space="preserve">3.2. Colle et connecteur</w:t>
      </w:r>
    </w:p>
    <w:p>
      <w:pPr/>
      <w:r>
        <w:rPr/>
        <w:t xml:space="preserve">Validé par le Groupe Spécialisé le 14/02/2019</w:t>
      </w:r>
    </w:p>
    <w:p>
      <w:pPr/>
      <w:r>
        <w:rPr>
          <w:b/>
          <w:bCs/>
        </w:rPr>
        <w:t xml:space="preserve">Description</w:t>
      </w:r>
    </w:p>
    <w:p>
      <w:pPr/>
      <w:r>
        <w:rPr/>
        <w:t xml:space="preserve">Description de la colle ou des connecteurs utilisés en précisant :</w:t>
      </w:r>
    </w:p>
    <w:p>
      <w:pPr/>
      <w:r>
        <w:rPr/>
        <w:t xml:space="preserve">Pour la colle :</w:t>
      </w:r>
    </w:p>
    <w:p>
      <w:pPr>
        <w:pPr/>
        <w:numPr>
          <w:ilvl w:val="0"/>
          <w:numId w:val="12"/>
        </w:numPr>
      </w:pPr>
      <w:r>
        <w:rPr/>
        <w:t xml:space="preserve">son type selon la norme NF EN 301 ;</w:t>
      </w:r>
    </w:p>
    <w:p>
      <w:pPr>
        <w:pPr/>
        <w:numPr>
          <w:ilvl w:val="0"/>
          <w:numId w:val="12"/>
        </w:numPr>
      </w:pPr>
      <w:r>
        <w:rPr/>
        <w:t xml:space="preserve">les classes de service visées selon la norme NF EN 1995-1-1 ;</w:t>
      </w:r>
    </w:p>
    <w:p>
      <w:pPr>
        <w:pPr/>
        <w:numPr>
          <w:ilvl w:val="0"/>
          <w:numId w:val="12"/>
        </w:numPr>
      </w:pPr>
      <w:r>
        <w:rPr/>
        <w:t xml:space="preserve">la classe d'émission de substance formaldéhyde selon la norme NF EN 717-1.</w:t>
      </w:r>
    </w:p>
    <w:p>
      <w:pPr/>
      <w:r>
        <w:rPr/>
        <w:t xml:space="preserve">Pour le connecteur :</w:t>
      </w:r>
    </w:p>
    <w:p>
      <w:pPr>
        <w:pPr/>
        <w:numPr>
          <w:ilvl w:val="0"/>
          <w:numId w:val="13"/>
        </w:numPr>
      </w:pPr>
      <w:r>
        <w:rPr/>
        <w:t xml:space="preserve">sa résistance et son module de glissement ;</w:t>
      </w:r>
    </w:p>
    <w:p>
      <w:pPr>
        <w:pPr/>
        <w:numPr>
          <w:ilvl w:val="0"/>
          <w:numId w:val="13"/>
        </w:numPr>
      </w:pPr>
      <w:r>
        <w:rPr/>
        <w:t xml:space="preserve">ses autres caractéristiques selon norme de référence ou selon l'Evaluation Technique Européenne couvrant le connecteur et les registres de contrôle interne et externe permettant de s'assurer de la constance des performances.</w:t>
      </w:r>
    </w:p>
    <w:p>
      <w:pPr>
        <w:ind w:left="720" w:right="0"/>
      </w:pPr>
      <w:r>
        <w:rPr>
          <w:rStyle w:val="font_h2"/>
        </w:rPr>
        <w:t xml:space="preserve">3.3. Produits de préservation</w:t>
      </w:r>
    </w:p>
    <w:p>
      <w:pPr/>
      <w:r>
        <w:rPr/>
        <w:t xml:space="preserve">Validé par le Groupe Spécialisé le 14/02/2019</w:t>
      </w:r>
    </w:p>
    <w:p>
      <w:pPr/>
      <w:r>
        <w:rPr>
          <w:b/>
          <w:bCs/>
        </w:rPr>
        <w:t xml:space="preserve">Description</w:t>
      </w:r>
    </w:p>
    <w:p>
      <w:pPr/>
      <w:r>
        <w:rPr/>
        <w:t xml:space="preserve">En fonction de la classe d’emploi liée à la position du panneau dans l’ouvrage d’une part, et à l’essence utilisée d’autre part, un traitement de préservation du bois peut être nécessaire.Le produit de préservation utilisé doit être décrit.</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14/02/2019</w:t>
      </w:r>
    </w:p>
    <w:p>
      <w:pPr/>
      <w:r>
        <w:rPr>
          <w:b/>
          <w:bCs/>
        </w:rPr>
        <w:t xml:space="preserve">Description</w:t>
      </w:r>
    </w:p>
    <w:p>
      <w:pPr>
        <w:pPr/>
        <w:numPr>
          <w:ilvl w:val="0"/>
          <w:numId w:val="14"/>
        </w:numPr>
      </w:pPr>
      <w:r>
        <w:rPr/>
        <w:t xml:space="preserve">Dimensions des panneaux (longueur, hauteur et épaisseur en fonction du nombre de pli) ;</w:t>
      </w:r>
    </w:p>
    <w:p>
      <w:pPr>
        <w:pPr/>
        <w:numPr>
          <w:ilvl w:val="0"/>
          <w:numId w:val="14"/>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14/02/2019</w:t>
      </w:r>
    </w:p>
    <w:p>
      <w:pPr/>
      <w:r>
        <w:rPr>
          <w:b/>
          <w:bCs/>
        </w:rPr>
        <w:t xml:space="preserve">Description</w:t>
      </w:r>
    </w:p>
    <w:p>
      <w:pPr/>
      <w:r>
        <w:rPr/>
        <w:t xml:space="preserve">Ajouter les caractéristiques physiques des panneaux :</w:t>
      </w:r>
    </w:p>
    <w:p>
      <w:pPr>
        <w:pPr/>
        <w:numPr>
          <w:ilvl w:val="0"/>
          <w:numId w:val="15"/>
        </w:numPr>
      </w:pPr>
      <w:r>
        <w:rPr/>
        <w:t xml:space="preserve">La masse volumique des panneaux ;</w:t>
      </w:r>
    </w:p>
    <w:p>
      <w:pPr>
        <w:pPr/>
        <w:numPr>
          <w:ilvl w:val="0"/>
          <w:numId w:val="15"/>
        </w:numPr>
      </w:pPr>
      <w:r>
        <w:rPr/>
        <w:t xml:space="preserve">Les variations dimensionnelles dans le plan et hors plan des panneaux ;</w:t>
      </w:r>
    </w:p>
    <w:p>
      <w:pPr>
        <w:pPr/>
        <w:numPr>
          <w:ilvl w:val="0"/>
          <w:numId w:val="15"/>
        </w:numPr>
      </w:pPr>
      <w:r>
        <w:rPr/>
        <w:t xml:space="preserve">La capacité calorifique massique du panneau ;</w:t>
      </w:r>
    </w:p>
    <w:p>
      <w:pPr>
        <w:pPr/>
        <w:numPr>
          <w:ilvl w:val="0"/>
          <w:numId w:val="15"/>
        </w:numPr>
      </w:pPr>
      <w:r>
        <w:rPr/>
        <w:t xml:space="preserve">Le coefficient de conductivité thermique ;</w:t>
      </w:r>
    </w:p>
    <w:p>
      <w:pPr>
        <w:pPr/>
        <w:numPr>
          <w:ilvl w:val="0"/>
          <w:numId w:val="15"/>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14/02/2019</w:t>
      </w:r>
    </w:p>
    <w:p>
      <w:pPr/>
      <w:r>
        <w:rPr>
          <w:b/>
          <w:bCs/>
        </w:rPr>
        <w:t xml:space="preserve">Description</w:t>
      </w:r>
    </w:p>
    <w:p>
      <w:pPr/>
      <w:r>
        <w:rPr/>
        <w:t xml:space="preserve">Ajouter le site de fabrication des panneaux bois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14/02/2019</w:t>
      </w:r>
    </w:p>
    <w:p>
      <w:pPr/>
      <w:r>
        <w:rPr>
          <w:b/>
          <w:bCs/>
        </w:rPr>
        <w:t xml:space="preserve">Description</w:t>
      </w:r>
    </w:p>
    <w:p>
      <w:pPr/>
      <w:r>
        <w:rPr/>
        <w:t xml:space="preserve">Les panneaux doivent faire l'objet d'une fiche d'identification.Cette fiche doit à minima regrouper les informations suivantes :</w:t>
      </w:r>
    </w:p>
    <w:p>
      <w:pPr>
        <w:pPr/>
        <w:numPr>
          <w:ilvl w:val="0"/>
          <w:numId w:val="16"/>
        </w:numPr>
      </w:pPr>
      <w:r>
        <w:rPr/>
        <w:t xml:space="preserve">Le marquage CE si le panneau est conforme à une ETE ou à l'annexe ZA d'une norme applicable ;</w:t>
      </w:r>
    </w:p>
    <w:p>
      <w:pPr>
        <w:pPr/>
        <w:numPr>
          <w:ilvl w:val="0"/>
          <w:numId w:val="16"/>
        </w:numPr>
      </w:pPr>
      <w:r>
        <w:rPr/>
        <w:t xml:space="preserve">Le lieu de fabrication du panneau ;</w:t>
      </w:r>
    </w:p>
    <w:p>
      <w:pPr>
        <w:pPr/>
        <w:numPr>
          <w:ilvl w:val="0"/>
          <w:numId w:val="16"/>
        </w:numPr>
      </w:pPr>
      <w:r>
        <w:rPr/>
        <w:t xml:space="preserve">Les caractéristiques du panneau ;</w:t>
      </w:r>
    </w:p>
    <w:p>
      <w:pPr>
        <w:pPr/>
        <w:numPr>
          <w:ilvl w:val="0"/>
          <w:numId w:val="16"/>
        </w:numPr>
      </w:pPr>
      <w:r>
        <w:rPr/>
        <w:t xml:space="preserve">La référence de la commande.</w:t>
      </w:r>
    </w:p>
    <w:p>
      <w:pPr>
        <w:ind w:left="720" w:right="0"/>
      </w:pPr>
      <w:r>
        <w:rPr>
          <w:rStyle w:val="font_h2"/>
        </w:rPr>
        <w:t xml:space="preserve">5.3. Contrôle de fabrication</w:t>
      </w:r>
    </w:p>
    <w:p>
      <w:pPr/>
      <w:r>
        <w:rPr/>
        <w:t xml:space="preserve">Validé par le Groupe Spécialisé le 14/02/2019</w:t>
      </w:r>
    </w:p>
    <w:p>
      <w:pPr/>
      <w:r>
        <w:rPr>
          <w:b/>
          <w:bCs/>
        </w:rPr>
        <w:t xml:space="preserve">Description</w:t>
      </w:r>
    </w:p>
    <w:p>
      <w:pPr/>
      <w:r>
        <w:rPr/>
        <w:t xml:space="preserve">Décrire la nature et la fréquence des contrôles réalisés au cours de la fabrication des panneaux bois :</w:t>
      </w:r>
    </w:p>
    <w:p>
      <w:pPr>
        <w:pPr/>
        <w:numPr>
          <w:ilvl w:val="0"/>
          <w:numId w:val="17"/>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pour le CLT et la NF EN 15497 pour les panneaux bois de type contre-cloués), essais de résistance du panneau au cisaillement roulant selon la norme NF EN 16351 (dans le cas du CLT).</w:t>
      </w:r>
    </w:p>
    <w:p>
      <w:pPr>
        <w:pPr/>
        <w:numPr>
          <w:ilvl w:val="0"/>
          <w:numId w:val="17"/>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ceux préconisés par la norme NF EN 16351.</w:t>
      </w:r>
    </w:p>
    <w:p>
      <w:pPr/>
      <w:r>
        <w:rPr>
          <w:b/>
          <w:bCs/>
        </w:rPr>
        <w:t xml:space="preserve">Justification</w:t>
      </w:r>
    </w:p>
    <w:p>
      <w:pPr>
        <w:pPr/>
        <w:numPr>
          <w:ilvl w:val="0"/>
          <w:numId w:val="18"/>
        </w:numPr>
      </w:pPr>
      <w:r>
        <w:rPr/>
        <w:t xml:space="preserve">Joindre les Plan d'Assurance Qualité de production des panneaux ;</w:t>
      </w:r>
    </w:p>
    <w:p>
      <w:pPr>
        <w:pPr/>
        <w:numPr>
          <w:ilvl w:val="0"/>
          <w:numId w:val="18"/>
        </w:numPr>
      </w:pPr>
      <w:r>
        <w:rPr/>
        <w:t xml:space="preserve">Joindre les certificats de suivi de l'organisme extérieur et le dernier rapport d'audit externe.</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21/04/2022</w:t>
      </w:r>
    </w:p>
    <w:p>
      <w:pPr/>
      <w:r>
        <w:rPr>
          <w:b/>
          <w:bCs/>
        </w:rPr>
        <w:t xml:space="preserve">Description</w:t>
      </w:r>
    </w:p>
    <w:p>
      <w:pPr/>
      <w:r>
        <w:rPr/>
        <w:t xml:space="preserve">Détailler la méthode de calcul du module d'inertie efficace du panneau. </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fonctionnent comme des liaisons dont la rigidité de glissement est prise en compte via les propriétés de cisaillement roulant.</w:t>
      </w:r>
    </w:p>
    <w:p>
      <w:pPr/>
      <w:r>
        <w:rPr/>
        <w:t xml:space="preserve">D’autres méthodes de calcul de l’inertie efficace peuvent être proposées. Celles-ci devront permettre de se rapprocher des valeurs déterminées par essais de flexion (calibration par essais). La méthode de calcul de la rigidité efficace des panneaux CLT est également présentée dans le Cahier 3802_P2 §2.6.1.</w:t>
      </w:r>
    </w:p>
    <w:p>
      <w:pPr/>
      <w:r>
        <w:rPr>
          <w:b/>
          <w:bCs/>
        </w:rPr>
        <w:t xml:space="preserve">Justification</w:t>
      </w:r>
    </w:p>
    <w:p>
      <w:pPr/>
      <w:r>
        <w:rPr/>
        <w:t xml:space="preserve">-Essais de flexion permettant de calibrer la méthode de calcul. </w:t>
      </w:r>
    </w:p>
    <w:p>
      <w:pPr/>
      <w:r>
        <w:rPr/>
        <w:t xml:space="preserve">-Une note de calcul est attendue (les notes de calculs devront faire apparaitre tous les paramètres de modélisation des panneaux ainsi que les conditions de participation des plis transverses des panneaux).</w:t>
      </w:r>
    </w:p>
    <w:p>
      <w:pPr>
        <w:ind w:left="720" w:right="0"/>
      </w:pPr>
      <w:r>
        <w:rPr>
          <w:rStyle w:val="font_h2"/>
        </w:rPr>
        <w:t xml:space="preserve">6.2. Dimensionnement des murs</w:t>
      </w:r>
    </w:p>
    <w:p>
      <w:pPr>
        <w:ind w:left="1440" w:right="0"/>
      </w:pPr>
      <w:r>
        <w:rPr>
          <w:rStyle w:val="font_h3"/>
        </w:rPr>
        <w:t xml:space="preserve">6.2.1. Vérification sous charges verticales</w:t>
      </w:r>
    </w:p>
    <w:p>
      <w:pPr/>
      <w:r>
        <w:rPr/>
        <w:t xml:space="preserve">Validé par le Groupe Spécialisé le 21/04/2022</w:t>
      </w:r>
    </w:p>
    <w:p>
      <w:pPr/>
      <w:r>
        <w:rPr>
          <w:b/>
          <w:bCs/>
        </w:rPr>
        <w:t xml:space="preserve">Description</w:t>
      </w:r>
    </w:p>
    <w:p>
      <w:pPr/>
      <w:r>
        <w:rPr/>
        <w:t xml:space="preserve">Détailler la méthode de dimensionnement des murs sous charges verticales. </w:t>
      </w:r>
    </w:p>
    <w:p>
      <w:pPr/>
      <w:r>
        <w:rPr/>
        <w:t xml:space="preserve">Cette vérification se fait conformément au §6.1.2 et §6.1.4 de la norme NF EN 1995-1-1 ou au §4.3.3 du Cahier 3802_P2, en ne prenant en compte que les plis travaillants (les plis dont le sens des fibres est parallèle au sens l’effort). Les chargements étant le plus souvent dissymétriques, la charge verticale est considérée comme excentrée. Cet excentrement sera pris égal à la plus grande des deux valeurs suivantes : 1/6 de l’épaisseur du panneau ou l’excentricité réelle.</w:t>
      </w:r>
    </w:p>
    <w:p>
      <w:pPr/>
      <w:r>
        <w:rPr>
          <w:b/>
          <w:bCs/>
        </w:rPr>
        <w:t xml:space="preserve">Justification</w:t>
      </w:r>
    </w:p>
    <w:p>
      <w:pPr/>
      <w:r>
        <w:rPr/>
        <w:t xml:space="preserve">Une note de calcul est attendue</w:t>
      </w:r>
    </w:p>
    <w:p>
      <w:pPr>
        <w:ind w:left="1440" w:right="0"/>
      </w:pPr>
      <w:r>
        <w:rPr>
          <w:rStyle w:val="font_h3"/>
        </w:rPr>
        <w:t xml:space="preserve">6.2.2. Vérification sous charges horizontales perpendiculaires au plan du panneau</w:t>
      </w:r>
    </w:p>
    <w:p>
      <w:pPr/>
      <w:r>
        <w:rPr/>
        <w:t xml:space="preserve">Validé par le Groupe Spécialisé le 21/04/2022</w:t>
      </w:r>
    </w:p>
    <w:p>
      <w:pPr/>
      <w:r>
        <w:rPr>
          <w:b/>
          <w:bCs/>
        </w:rPr>
        <w:t xml:space="preserve">Description</w:t>
      </w:r>
    </w:p>
    <w:p>
      <w:pPr/>
      <w:r>
        <w:rPr/>
        <w:t xml:space="preserve">Détailler la méthode de dimensionnement des murs sous charges horizontales perpendiculaires au plan du panneau. </w:t>
      </w:r>
    </w:p>
    <w:p>
      <w:pPr/>
      <w:r>
        <w:rPr/>
        <w:t xml:space="preserve">Cette vérification se fait conformément au §6.1.6 de la norme NF EN 1995-1-1 ou au §4.3.2 du Cahier 3802_P2.</w:t>
      </w:r>
    </w:p>
    <w:p>
      <w:pPr/>
      <w:r>
        <w:rPr>
          <w:b/>
          <w:bCs/>
        </w:rPr>
        <w:t xml:space="preserve">Justification</w:t>
      </w:r>
    </w:p>
    <w:p>
      <w:pPr/>
      <w:r>
        <w:rPr/>
        <w:t xml:space="preserve">Une note de calcul est attendue</w:t>
      </w:r>
    </w:p>
    <w:p>
      <w:pPr>
        <w:ind w:left="1440" w:right="0"/>
      </w:pPr>
      <w:r>
        <w:rPr>
          <w:rStyle w:val="font_h3"/>
        </w:rPr>
        <w:t xml:space="preserve">6.2.3. Vérification sous charges verticales et horizontales perpendiculaires au plan du panneau combinée</w:t>
      </w:r>
    </w:p>
    <w:p>
      <w:pPr/>
      <w:r>
        <w:rPr/>
        <w:t xml:space="preserve">Validé par le Groupe Spécialisé le 21/04/2022</w:t>
      </w:r>
    </w:p>
    <w:p>
      <w:pPr/>
      <w:r>
        <w:rPr>
          <w:b/>
          <w:bCs/>
        </w:rPr>
        <w:t xml:space="preserve">Description</w:t>
      </w:r>
    </w:p>
    <w:p>
      <w:pPr/>
      <w:r>
        <w:rPr/>
        <w:t xml:space="preserve">Détailler la méthode de dimensionnement des murs sous charges verticales et horizontales perpendiculaires au plan du panneau combinées. </w:t>
      </w:r>
    </w:p>
    <w:p>
      <w:pPr/>
      <w:r>
        <w:rPr/>
        <w:t xml:space="preserve">Cette vérification se fait conformément au §6.3.2 de la norme NF EN 1995-1-1 ou au §4.3.3.2 du Cahier 3802_P2.</w:t>
      </w:r>
    </w:p>
    <w:p>
      <w:pPr/>
      <w:r>
        <w:rPr>
          <w:b/>
          <w:bCs/>
        </w:rPr>
        <w:t xml:space="preserve">Justification</w:t>
      </w:r>
    </w:p>
    <w:p>
      <w:pPr/>
      <w:r>
        <w:rPr/>
        <w:t xml:space="preserve">Une note de calcul est attendue</w:t>
      </w:r>
    </w:p>
    <w:p>
      <w:pPr>
        <w:ind w:left="1440" w:right="0"/>
      </w:pPr>
      <w:r>
        <w:rPr>
          <w:rStyle w:val="font_h3"/>
        </w:rPr>
        <w:t xml:space="preserve">6.2.4. Vérifications sous charges verticales ponctuelles</w:t>
      </w:r>
    </w:p>
    <w:p>
      <w:pPr/>
      <w:r>
        <w:rPr/>
        <w:t xml:space="preserve">Validé par le Groupe Spécialisé le 21/04/2022</w:t>
      </w:r>
    </w:p>
    <w:p>
      <w:pPr/>
      <w:r>
        <w:rPr>
          <w:b/>
          <w:bCs/>
        </w:rPr>
        <w:t xml:space="preserve">Description</w:t>
      </w:r>
    </w:p>
    <w:p>
      <w:pPr/>
      <w:r>
        <w:rPr/>
        <w:t xml:space="preserve">Détailler la méthode de calcul adoptée sous charges ponctuelles.Cette vérification se fait conformément au §6.1.4 de la norme NF EN 1995-1-1 ou au §4.3.7 du Cahier 3802_P2.</w:t>
      </w:r>
    </w:p>
    <w:p>
      <w:pPr/>
      <w:r>
        <w:rPr>
          <w:b/>
          <w:bCs/>
        </w:rPr>
        <w:t xml:space="preserve">Justification</w:t>
      </w:r>
    </w:p>
    <w:p>
      <w:pPr/>
      <w:r>
        <w:rPr/>
        <w:t xml:space="preserve">Une note de calcul est attendue</w:t>
      </w:r>
    </w:p>
    <w:p>
      <w:pPr>
        <w:ind w:left="1440" w:right="0"/>
      </w:pPr>
      <w:r>
        <w:rPr>
          <w:rStyle w:val="font_h3"/>
        </w:rPr>
        <w:t xml:space="preserve">6.2.5. Reprise des efforts de compression oblique</w:t>
      </w:r>
    </w:p>
    <w:p>
      <w:pPr/>
      <w:r>
        <w:rPr/>
        <w:t xml:space="preserve">Validé par le Groupe Spécialisé le 21/04/2022</w:t>
      </w:r>
    </w:p>
    <w:p>
      <w:pPr/>
      <w:r>
        <w:rPr>
          <w:b/>
          <w:bCs/>
        </w:rPr>
        <w:t xml:space="preserve">Description</w:t>
      </w:r>
    </w:p>
    <w:p>
      <w:pPr/>
      <w:r>
        <w:rPr/>
        <w:t xml:space="preserve">Détailler la méthode de calcul vis à vis des efforts de compression obliques. </w:t>
      </w:r>
    </w:p>
    <w:p>
      <w:pPr/>
      <w:r>
        <w:rPr/>
        <w:t xml:space="preserve">Cette vérification se fait conformément au §6.2.2 de la norme NF EN 1995-1-1 ou au §4.3.3.4 du Cahier 3802_P2, en ne prenant en compte que les plis travaillants (les plis dont le sens des fibres est parallèle au sens l’effort).</w:t>
      </w:r>
    </w:p>
    <w:p>
      <w:pPr/>
      <w:r>
        <w:rPr>
          <w:b/>
          <w:bCs/>
        </w:rPr>
        <w:t xml:space="preserve">Justification</w:t>
      </w:r>
    </w:p>
    <w:p>
      <w:pPr/>
      <w:r>
        <w:rPr/>
        <w:t xml:space="preserve">Une note de calcul est attendue</w:t>
      </w:r>
    </w:p>
    <w:p>
      <w:pPr>
        <w:ind w:left="1440" w:right="0"/>
      </w:pPr>
      <w:r>
        <w:rPr>
          <w:rStyle w:val="font_h3"/>
        </w:rPr>
        <w:t xml:space="preserve">6.2.6. Reprises des efforts de contreventement</w:t>
      </w:r>
    </w:p>
    <w:p>
      <w:pPr/>
      <w:r>
        <w:rPr/>
        <w:t xml:space="preserve">Validé par le Groupe Spécialisé le 21/04/2022</w:t>
      </w:r>
    </w:p>
    <w:p>
      <w:pPr/>
      <w:r>
        <w:rPr>
          <w:b/>
          <w:bCs/>
        </w:rPr>
        <w:t xml:space="preserve">Description</w:t>
      </w:r>
    </w:p>
    <w:p>
      <w:pPr/>
      <w:r>
        <w:rPr/>
        <w:t xml:space="preserve">Détailler le principe de dimensionnement des panneaux pour la reprise des efforts de contreventement. </w:t>
      </w:r>
    </w:p>
    <w:p>
      <w:pPr/>
      <w:r>
        <w:rPr/>
        <w:t xml:space="preserve">Lorsque des panneaux bois sont utilisés pour assurer le contreventement, il est possible :</w:t>
      </w:r>
    </w:p>
    <w:p>
      <w:pPr/>
      <w:r>
        <w:rPr/>
        <w:t xml:space="preserve">•   soit de les considérer comme une succession de panneaux isolés les uns des autres. Il est alors nécessaire de justifier leur tenue et celle de leurs ancrages en les considérant comme libres en tête et encastrés en pied. Ceci n’est applicable que si les panneaux sont fixés mécaniquement en pied et d’une largeur supérieure à 0,60 m. Il est également nécessaire de s’assurer de la présence d’une lisse haute transmettant l’effort horizontal et de justifier la transmission de l’effort aux panneaux par cette lisse et en ne tenant compte que des plis orientés dans le sens de cet effort.</w:t>
      </w:r>
    </w:p>
    <w:p>
      <w:pPr/>
      <w:r>
        <w:rPr/>
        <w:t xml:space="preserve">•   Soit de considérer les liaisons entre panneaux. Il est alors nécessaire de justifier la tenue des panneaux et celles de leurs ancrages d’une part, de justifier la transmission des efforts de glissement entre panneaux d’autre part.</w:t>
      </w:r>
    </w:p>
    <w:p>
      <w:pPr/>
      <w:r>
        <w:rPr/>
        <w:t xml:space="preserve">Lorsque des panneaux munis d’ouvertures sont utilisés pour assurer le contreventement, il doit être vérifié que la console seule est capable de transmettre l’effort horizontal en ne tenant compte que des plis orientés dans le sens des efforts.</w:t>
      </w:r>
    </w:p>
    <w:p>
      <w:pPr/>
      <w:r>
        <w:rPr/>
        <w:t xml:space="preserve">L’aptitude des organes d’assemblage à transmettre les efforts aux panneaux adjacents est vérifié conformément au §8.2 de la norme NF EN 1995-1-1.</w:t>
      </w:r>
    </w:p>
    <w:p>
      <w:pPr/>
      <w:r>
        <w:rPr/>
        <w:t xml:space="preserve">La lisse haute transmettant les efforts horizontaux entre panneaux doit être vérifiée conformément à la norme NF EN 1995-1-1.</w:t>
      </w:r>
    </w:p>
    <w:p>
      <w:pPr/>
      <w:r>
        <w:rPr/>
        <w:t xml:space="preserve">Le dimensionnement des panneaux CLT utilisés pour la reprise des efforts de contreventement peut être réalisé conformément au §4.3.4 du Cahier 3802_P2.</w:t>
      </w:r>
    </w:p>
    <w:p>
      <w:pPr/>
      <w:r>
        <w:rPr>
          <w:b/>
          <w:bCs/>
        </w:rPr>
        <w:t xml:space="preserve">Justification</w:t>
      </w:r>
    </w:p>
    <w:p>
      <w:pPr/>
      <w:r>
        <w:rPr/>
        <w:t xml:space="preserve">Une note de calcul est attendue</w:t>
      </w:r>
    </w:p>
    <w:p>
      <w:pPr>
        <w:ind w:left="1440" w:right="0"/>
      </w:pPr>
      <w:r>
        <w:rPr>
          <w:rStyle w:val="font_h3"/>
        </w:rPr>
        <w:t xml:space="preserve">6.2.7. Vérification de la capacité de résistance au cisaillement des panneaux sous charges horizontales dans le plan du panneau</w:t>
      </w:r>
    </w:p>
    <w:p>
      <w:pPr/>
      <w:r>
        <w:rPr/>
        <w:t xml:space="preserve">Validé par le Groupe Spécialisé le 14/02/2019</w:t>
      </w:r>
    </w:p>
    <w:p>
      <w:pPr/>
      <w:r>
        <w:rPr>
          <w:b/>
          <w:bCs/>
        </w:rPr>
        <w:t xml:space="preserve">Description</w:t>
      </w:r>
    </w:p>
    <w:p>
      <w:pPr/>
      <w:r>
        <w:rPr/>
        <w:t xml:space="preserve">La vérification de la capacité de résistance au cisaillement des panneaux sous charges horizontales dans le plan du panneau consiste à vérifier que les trois modes de ruptures potentiels ne sont pas atteints. Il faut donc vérifier :</w:t>
      </w:r>
    </w:p>
    <w:p>
      <w:pPr>
        <w:pPr/>
        <w:numPr>
          <w:ilvl w:val="0"/>
          <w:numId w:val="19"/>
        </w:numPr>
      </w:pPr>
      <w:r>
        <w:rPr/>
        <w:t xml:space="preserve">Le cisaillement global du panneau ;</w:t>
      </w:r>
    </w:p>
    <w:p>
      <w:pPr>
        <w:pPr/>
        <w:numPr>
          <w:ilvl w:val="0"/>
          <w:numId w:val="19"/>
        </w:numPr>
      </w:pPr>
      <w:r>
        <w:rPr/>
        <w:t xml:space="preserve">Le cisaillement des jonctions entre planches ;</w:t>
      </w:r>
    </w:p>
    <w:p>
      <w:pPr>
        <w:pPr/>
        <w:numPr>
          <w:ilvl w:val="0"/>
          <w:numId w:val="19"/>
        </w:numPr>
      </w:pPr>
      <w:r>
        <w:rPr/>
        <w:t xml:space="preserve">Le cisaillement des plans de croisement.</w:t>
      </w:r>
    </w:p>
    <w:p>
      <w:pPr/>
      <w:r>
        <w:rPr/>
        <w:t xml:space="preserve">La méthode de calcul vis-à-vis de ces 3 modes de rupture devra être détaillée.</w:t>
      </w:r>
    </w:p>
    <w:p>
      <w:pPr/>
      <w:r>
        <w:rPr>
          <w:b/>
          <w:bCs/>
        </w:rPr>
        <w:t xml:space="preserve">Justification</w:t>
      </w:r>
    </w:p>
    <w:p>
      <w:pPr/>
      <w:r>
        <w:rPr/>
        <w:t xml:space="preserve">Une note de calcul est attendue</w:t>
      </w:r>
    </w:p>
    <w:p>
      <w:pPr>
        <w:ind w:left="1440" w:right="0"/>
      </w:pPr>
      <w:r>
        <w:rPr>
          <w:rStyle w:val="font_h3"/>
        </w:rPr>
        <w:t xml:space="preserve">6.2.8. Vérifications des linteaux</w:t>
      </w:r>
    </w:p>
    <w:p>
      <w:pPr/>
      <w:r>
        <w:rPr/>
        <w:t xml:space="preserve">Validé par le Groupe Spécialisé le 21/04/2022</w:t>
      </w:r>
    </w:p>
    <w:p>
      <w:pPr/>
      <w:r>
        <w:rPr>
          <w:b/>
          <w:bCs/>
        </w:rPr>
        <w:t xml:space="preserve">Description</w:t>
      </w:r>
    </w:p>
    <w:p>
      <w:pPr/>
      <w:r>
        <w:rPr/>
        <w:t xml:space="preserve">Détailler la méthode de vérification des linteaux en distinguant les différents types de linteaux. </w:t>
      </w:r>
    </w:p>
    <w:p>
      <w:pPr/>
      <w:r>
        <w:rPr/>
        <w:t xml:space="preserve">On considère deux types de linteau :</w:t>
      </w:r>
    </w:p>
    <w:p>
      <w:pPr>
        <w:pPr/>
        <w:numPr>
          <w:ilvl w:val="0"/>
          <w:numId w:val="20"/>
        </w:numPr>
      </w:pPr>
      <w:r>
        <w:rPr/>
        <w:t xml:space="preserve">Le linteau intégré au panneau bois (ouverture dans le panneau) ;</w:t>
      </w:r>
    </w:p>
    <w:p>
      <w:pPr>
        <w:pPr/>
        <w:numPr>
          <w:ilvl w:val="0"/>
          <w:numId w:val="20"/>
        </w:numPr>
      </w:pPr>
      <w:r>
        <w:rPr/>
        <w:t xml:space="preserve">Le linteau rapporté.</w:t>
      </w:r>
    </w:p>
    <w:p>
      <w:pPr/>
      <w:r>
        <w:rPr/>
        <w:t xml:space="preserve">Si le linteau fait partie intégrante du panneau de mur, on le modélisera par une poutre encastrée à ses extrémités lorsque la hauteur de celui-ci sera inférieure à la largeur des bandes de murs formant poteaux. </w:t>
      </w:r>
    </w:p>
    <w:p>
      <w:pPr/>
      <w:r>
        <w:rPr/>
        <w:t xml:space="preserve">Dans le cas où un des poteaux n’est pas suffisamment large pour reprendre ces sollicitations, on considèrera alors que le linteau est encastré d’un côté et appuyé de l’autre.</w:t>
      </w:r>
    </w:p>
    <w:p>
      <w:pPr/>
      <w:r>
        <w:rPr/>
        <w:t xml:space="preserve">Lorsque ces conditions ne sont pas respectées ou lorsque le linteau est une pièce rapportée, on le considérera comme simplement appuyé.Dans ce derniers cas, il faudra vérifier le déversement du linteau conformément au §6.3.3 de la norme NF EN 1995-1-1.</w:t>
      </w:r>
    </w:p>
    <w:p>
      <w:pPr/>
      <w:r>
        <w:rPr/>
        <w:t xml:space="preserve">Il conviendra de vérifier la déformation des linteaux conformément au NF DTU 31.2.</w:t>
      </w:r>
    </w:p>
    <w:p>
      <w:pPr/>
      <w:r>
        <w:rPr/>
        <w:t xml:space="preserve">La vérification des poteaux formant l’ouverture sera faite conformément au §6.3.2 de la norme NF EN 1995-1-1.</w:t>
      </w:r>
    </w:p>
    <w:p>
      <w:pPr/>
      <w:r>
        <w:rPr/>
        <w:t xml:space="preserve">La vérification peut être également réalisée conformément au §4.3.6 du Cahier 3802_P2.</w:t>
      </w:r>
    </w:p>
    <w:p>
      <w:pPr/>
      <w:r>
        <w:rPr>
          <w:b/>
          <w:bCs/>
        </w:rPr>
        <w:t xml:space="preserve">Justification</w:t>
      </w:r>
    </w:p>
    <w:p>
      <w:pPr/>
      <w:r>
        <w:rPr/>
        <w:t xml:space="preserve">Une méthode de dimensionnement ainsi qu'une note de calcul sont attendues</w:t>
      </w:r>
    </w:p>
    <w:p>
      <w:pPr>
        <w:ind w:left="1440" w:right="0"/>
      </w:pPr>
      <w:r>
        <w:rPr>
          <w:rStyle w:val="font_h3"/>
        </w:rPr>
        <w:t xml:space="preserve">6.2.9. Organes de fixation</w:t>
      </w:r>
    </w:p>
    <w:p>
      <w:pPr/>
      <w:r>
        <w:rPr/>
        <w:t xml:space="preserve">Validé par le Groupe Spécialisé le 14/02/2019</w:t>
      </w:r>
    </w:p>
    <w:p>
      <w:pPr/>
      <w:r>
        <w:rPr>
          <w:b/>
          <w:bCs/>
        </w:rPr>
        <w:t xml:space="preserve">Description</w:t>
      </w:r>
    </w:p>
    <w:p>
      <w:pPr/>
      <w:r>
        <w:rPr/>
        <w:t xml:space="preserve">Détailler les méthodes de dimensionnement des organes de fixation pour l'assemblage des panneaux entre eux ou avec d'autres éléments.</w:t>
      </w:r>
    </w:p>
    <w:p>
      <w:pPr/>
      <w:r>
        <w:rPr/>
        <w:t xml:space="preserve">Les organes de fixation métalliques de type tige utilisés pour l’assemblage de panneaux structuraux massifs bois entre eux ou avec d’autres éléments de l’ouvrage font l’objet : </w:t>
      </w:r>
    </w:p>
    <w:p>
      <w:pPr/>
      <w:r>
        <w:rPr/>
        <w:t xml:space="preserve">▪ d’un marquage CE selon la NF EN 14592, lorsque l’organe ne traverse pas plus de deux plans de cisaillement </w:t>
      </w:r>
    </w:p>
    <w:p>
      <w:pPr/>
      <w:r>
        <w:rPr/>
        <w:t xml:space="preserve">▪ d’un ATE ou d’une ETE visant la fixation dans un panneau structural massif bois lorsque l’organe traverse plus de deux plans de cisaillement.</w:t>
      </w:r>
    </w:p>
    <w:p>
      <w:pPr/>
      <w:r>
        <w:rPr>
          <w:rStyle w:val="font_h1"/>
        </w:rPr>
        <w:t xml:space="preserve">7. Dimensionnement en zone sismique</w:t>
      </w:r>
    </w:p>
    <w:p>
      <w:pPr/>
      <w:r>
        <w:rPr/>
        <w:t xml:space="preserve">Validé par le Groupe Spécialisé le 14/02/2019</w:t>
      </w:r>
    </w:p>
    <w:p>
      <w:pPr/>
      <w:r>
        <w:rPr>
          <w:b/>
          <w:bCs/>
        </w:rPr>
        <w:t xml:space="preserve">Description</w:t>
      </w:r>
    </w:p>
    <w:p>
      <w:pPr/>
      <w:r>
        <w:rPr/>
        <w:t xml:space="preserve">Détailler les principes de conception et de dimensionnement du procédé en situation sismique. </w:t>
      </w:r>
    </w:p>
    <w:p>
      <w:pPr/>
      <w:r>
        <w:rPr>
          <w:b/>
          <w:bCs/>
        </w:rPr>
        <w:t xml:space="preserve">Jurisprudence GS3.2</w:t>
      </w:r>
      <w:r>
        <w:rPr/>
        <w:t xml:space="preserve"> </w:t>
      </w:r>
    </w:p>
    <w:p>
      <w:pPr/>
      <w:r>
        <w:rPr/>
        <w:t xml:space="preserve">La justification en zone sismique des structures assemblées par panneaux bois doit être menée en suivant le principe de comportement de structure soit dissipatif (Classe de ductilité M) soit faiblement dissipatif (Classe de ductilité L) conformément à NF EN 1998-1-1 (cf. §8.1.3 et §8.6 (2)P). Les effets des actions sont calculés sur la base de la méthode des forces latérales équivalentes du §4.3.3.2 ou de la réponse modale du §4.3.3.3 de la norme NF EN 1998-1-1. Le spectre de calcul est déterminé à partir du spectre  en appliquant un coefficient de comportement q=2,0 pour la classe DCM et q=1,5 pour la classe DCL.</w:t>
      </w:r>
    </w:p>
    <w:p>
      <w:pPr/>
      <w:r>
        <w:rPr/>
        <w:t xml:space="preserve">Les critères de régularité en plan et en élévation de la norme NF EN 1998-1-1 (cf. §4.2.3) doivent être strictement respectés et faire l’objet d’une vérification. Toutefois, les bâtiments non-réguliers en  élévation sont admis, en menant les justifications avec un coefficient de comportement abaissé de 20%.</w:t>
      </w:r>
    </w:p>
    <w:p>
      <w:pPr/>
      <w:r>
        <w:rPr/>
        <w:t xml:space="preserve">Les coefficients de conversion correspondant à une classe de durée de chargement instantanée sont appliqués.</w:t>
      </w:r>
    </w:p>
    <w:p>
      <w:pPr/>
      <w:r>
        <w:rPr/>
        <w:t xml:space="preserve">La conception de l’ouvrage suivant le principe de comportement de structure dissipatif impose de porter la plus grande attention à la conception des assemblages entre panneaux (vis de liaison, équerres, etc.) au regard des efforts de cisaillement engendrés par l’action sismique. A ce titre, il convient : </w:t>
      </w:r>
    </w:p>
    <w:p>
      <w:pPr>
        <w:pPr/>
        <w:numPr>
          <w:ilvl w:val="0"/>
          <w:numId w:val="21"/>
        </w:numPr>
      </w:pPr>
      <w:r>
        <w:rPr/>
        <w:t xml:space="preserve">de hiérarchiser les zones de rupture dans les organes d’assemblage des panneaux en vérifiant la résistance suffisante des panneaux dont la rupture en cisaillement est considérée fragile ; </w:t>
      </w:r>
    </w:p>
    <w:p>
      <w:pPr>
        <w:pPr/>
        <w:numPr>
          <w:ilvl w:val="0"/>
          <w:numId w:val="21"/>
        </w:numPr>
      </w:pPr>
      <w:r>
        <w:rPr/>
        <w:t xml:space="preserve">d’exploiter la source de ductilité des organes d’assemblage des ancrages et équerres, la justification de la capacité résistante étant menée suivant les principes la norme NF EN 1995-1-1 au §8.2 en s’assurant que le mode de rupture obtenu est celui de la plastification de l’organe d’assemblage ; les organes de fixation de type broches, boulons et pointes lisses n’est pas admise ; </w:t>
      </w:r>
    </w:p>
    <w:p>
      <w:pPr>
        <w:pPr/>
        <w:numPr>
          <w:ilvl w:val="0"/>
          <w:numId w:val="21"/>
        </w:numPr>
      </w:pPr>
      <w:r>
        <w:rPr/>
        <w:t xml:space="preserve">de s’assurer que les connecteurs tridimensionnels mises en œuvre bénéficient d’un Agrément Technique Européen et fassent l’objet d’un rapport d’essai de laboratoire (accrédité ISO 17025) réalisé selon la norme NF EN 12512 et démontrant d’un comportement cyclique qui satisfasse les critères fixés de la classe de ductilité M au §8.3(3)P de la norme NF EN 1998-1-1 ; </w:t>
      </w:r>
    </w:p>
    <w:p>
      <w:pPr>
        <w:pPr/>
        <w:numPr>
          <w:ilvl w:val="0"/>
          <w:numId w:val="21"/>
        </w:numPr>
      </w:pPr>
      <w:r>
        <w:rPr/>
        <w:t xml:space="preserve">de s’assurer que le dimensionnement des ancrages de panneaux sera réalisé en appliquant les principes du dimensionnement en capacité de la norme NF EN 1998-1 en considérant un coefficient de sur-résistance pour l’ancrage tel que défini au §4.4.2.6 de cette norme ;</w:t>
      </w:r>
    </w:p>
    <w:p>
      <w:pPr>
        <w:pPr/>
        <w:numPr>
          <w:ilvl w:val="0"/>
          <w:numId w:val="21"/>
        </w:numPr>
      </w:pPr>
      <w:r>
        <w:rPr/>
        <w:t xml:space="preserve">de s’assurer que le dimensionnement des ancrages de panneaux est réalisé en appliquant les principes du dimensionnement en capacité de la norme NF EN 1998-1 en considérant un coefficient de sur-résistance pour l’ancrage γrd = 1,3 pour les murs formés d’un seul panneau continu et γrd = 1,6 pour les murs formés de plusieurs panneaux assemblés par des vis. </w:t>
      </w:r>
    </w:p>
    <w:p>
      <w:pPr/>
      <w:r>
        <w:rPr/>
        <w:t xml:space="preserve">La justification des panneaux utilisés en murs de contreventement en zone sismique doit être effectuée en :</w:t>
      </w:r>
    </w:p>
    <w:p>
      <w:pPr>
        <w:pPr/>
        <w:numPr>
          <w:ilvl w:val="0"/>
          <w:numId w:val="22"/>
        </w:numPr>
      </w:pPr>
      <w:r>
        <w:rPr/>
        <w:t xml:space="preserve">menant les vérifications précisées ci-dessus ;</w:t>
      </w:r>
    </w:p>
    <w:p>
      <w:pPr>
        <w:pPr/>
        <w:numPr>
          <w:ilvl w:val="0"/>
          <w:numId w:val="22"/>
        </w:numPr>
      </w:pPr>
      <w:r>
        <w:rPr/>
        <w:t xml:space="preserve">réalisant la fixation au support béton des panneaux au soubassement béton par des chevilles bénéficiant d’une Evaluation Technique Européenne pour une utilisation en béton fissuré ; limiter la capacité résistante en cisaillement de ces chevilles à la moitié de celles indiquée dans l’ETE sous sollicitation statique ; considérer un diagramme d’interaction linéaire pour justifier les chevilles sous charges combinées de traction et de cisaillement.</w:t>
      </w:r>
    </w:p>
    <w:p>
      <w:pPr/>
      <w:r>
        <w:rPr>
          <w:b/>
          <w:bCs/>
        </w:rPr>
        <w:t xml:space="preserve">Justification</w:t>
      </w:r>
    </w:p>
    <w:p>
      <w:pPr/>
      <w:r>
        <w:rPr/>
        <w:t xml:space="preserve">Une note de calcul est attendue sur un ouvrage représentatif du domaine d'emploi visé.</w:t>
      </w:r>
    </w:p>
    <w:p>
      <w:pPr/>
      <w:r>
        <w:rPr>
          <w:rStyle w:val="font_h1"/>
        </w:rPr>
        <w:t xml:space="preserve">8. Levage et manutention</w:t>
      </w:r>
    </w:p>
    <w:p>
      <w:pPr/>
      <w:r>
        <w:rPr/>
        <w:t xml:space="preserve">Validé par le Groupe Spécialisé le 14/02/2024</w:t>
      </w:r>
    </w:p>
    <w:p>
      <w:pPr/>
      <w:r>
        <w:rPr>
          <w:b/>
          <w:bCs/>
        </w:rPr>
        <w:t xml:space="preserve">Description</w:t>
      </w:r>
    </w:p>
    <w:p>
      <w:pPr/>
      <w:r>
        <w:rPr/>
        <w:t xml:space="preserve">Description des moyens utilisés pour la manutention et levage des panneaux en usine et/ou sur chantier (organes de levage).</w:t>
      </w:r>
    </w:p>
    <w:p>
      <w:pPr/>
      <w:r>
        <w:rPr>
          <w:rStyle w:val="font_h1"/>
        </w:rPr>
        <w:t xml:space="preserve">9. Dispositions constructives</w:t>
      </w:r>
    </w:p>
    <w:p>
      <w:pPr/>
      <w:r>
        <w:rPr/>
        <w:t xml:space="preserve">Validé par le Groupe Spécialisé le 14/02/2019</w:t>
      </w:r>
    </w:p>
    <w:p>
      <w:pPr/>
      <w:r>
        <w:rPr>
          <w:b/>
          <w:bCs/>
        </w:rPr>
        <w:t xml:space="preserve">Description</w:t>
      </w:r>
    </w:p>
    <w:p>
      <w:pPr/>
      <w:r>
        <w:rPr/>
        <w:t xml:space="preserve">Description des modalités d’assemblage entre panneaux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b/>
          <w:bCs/>
        </w:rPr>
        <w:t xml:space="preserve">Justification</w:t>
      </w:r>
    </w:p>
    <w:p>
      <w:pPr/>
      <w:r>
        <w:rPr/>
        <w:t xml:space="preserve">Décrire les organes d'assemblages couramment utilisés et envoyer leurs documents techniques (ETE, etc...).</w:t>
      </w:r>
    </w:p>
    <w:p>
      <w:pPr/>
      <w:r>
        <w:rPr>
          <w:rStyle w:val="font_h1"/>
        </w:rPr>
        <w:t xml:space="preserve">10. Sécurité en situation d'incendie</w:t>
      </w:r>
    </w:p>
    <w:p>
      <w:pPr>
        <w:ind w:left="720" w:right="0"/>
      </w:pPr>
      <w:r>
        <w:rPr>
          <w:rStyle w:val="font_h2"/>
        </w:rPr>
        <w:t xml:space="preserve">10.1. Réaction au feu</w:t>
      </w:r>
    </w:p>
    <w:p>
      <w:pPr/>
      <w:r>
        <w:rPr/>
        <w:t xml:space="preserve">Validé par le Groupe Spécialisé le 10/10/2024</w:t>
      </w:r>
    </w:p>
    <w:p>
      <w:pPr/>
      <w:r>
        <w:rPr>
          <w:b/>
          <w:bCs/>
        </w:rPr>
        <w:t xml:space="preserve">Description</w:t>
      </w:r>
    </w:p>
    <w:p>
      <w:pPr/>
      <w:r>
        <w:rPr/>
        <w:t xml:space="preserve">Pour la réaction au feu, les panneaux bois bruts bénéficient d'un classement conventionnel en réaction  au feu D-s2,d0 conformément à la norme NF EN 13501-1. L'adéquation entre ce classement et les exigences réglementaires doit être examinée au cas par cas en fonction du type de bâtiment et de l'emplacement du panneau dans l'ouvrage.</w:t>
      </w:r>
    </w:p>
    <w:p>
      <w:pPr>
        <w:ind w:left="720" w:right="0"/>
      </w:pPr>
      <w:r>
        <w:rPr>
          <w:rStyle w:val="font_h2"/>
        </w:rPr>
        <w:t xml:space="preserve">10.2. Résistance au feu</w:t>
      </w:r>
    </w:p>
    <w:p>
      <w:pPr>
        <w:ind w:left="1440" w:right="0"/>
      </w:pPr>
      <w:r>
        <w:rPr>
          <w:rStyle w:val="font_h3"/>
        </w:rPr>
        <w:t xml:space="preserve">10.2.1. Généralités</w:t>
      </w:r>
    </w:p>
    <w:p>
      <w:pPr/>
      <w:r>
        <w:rPr/>
        <w:t xml:space="preserve">Validé par le Groupe Spécialisé le 10/10/2024</w:t>
      </w:r>
    </w:p>
    <w:p>
      <w:pPr/>
      <w:r>
        <w:rPr>
          <w:b/>
          <w:bCs/>
        </w:rPr>
        <w:t xml:space="preserve">Description</w:t>
      </w:r>
    </w:p>
    <w:p>
      <w:pPr/>
      <w:r>
        <w:rPr/>
        <w:t xml:space="preserve">Le dimensionnement du procédé en cas d'incendie devra être justifié conformément à la règlementation en vigueur (PV feu et/ou appréciation de laboratoire). Il devra couvrir par exemple les points suivants : </w:t>
      </w:r>
    </w:p>
    <w:p>
      <w:pPr>
        <w:pPr/>
        <w:numPr>
          <w:ilvl w:val="0"/>
          <w:numId w:val="23"/>
        </w:numPr>
      </w:pPr>
      <w:r>
        <w:rPr/>
        <w:t xml:space="preserve">Justification de la stabilité au feu du mur ;</w:t>
      </w:r>
    </w:p>
    <w:p>
      <w:pPr>
        <w:pPr/>
        <w:numPr>
          <w:ilvl w:val="0"/>
          <w:numId w:val="23"/>
        </w:numPr>
      </w:pPr>
      <w:r>
        <w:rPr/>
        <w:t xml:space="preserve">Dispositions constructives permettant d'éviter la propagation du feu.</w:t>
      </w:r>
    </w:p>
    <w:p>
      <w:pPr>
        <w:ind w:left="1440" w:right="0"/>
      </w:pPr>
      <w:r>
        <w:rPr>
          <w:rStyle w:val="font_h3"/>
        </w:rPr>
        <w:t xml:space="preserve">10.2.2. Justification de la stabilité au feu du mur</w:t>
      </w:r>
    </w:p>
    <w:p>
      <w:pPr/>
      <w:r>
        <w:rPr/>
        <w:t xml:space="preserve">Validé par le Groupe Spécialisé le 10/10/2024</w:t>
      </w:r>
    </w:p>
    <w:p>
      <w:pPr/>
      <w:r>
        <w:rPr>
          <w:b/>
          <w:bCs/>
        </w:rPr>
        <w:t xml:space="preserve">Description</w:t>
      </w:r>
    </w:p>
    <w:p>
      <w:pPr/>
      <w:r>
        <w:rPr/>
        <w:t xml:space="preserve">Lorsque le domaine d’emploi le requiert, la résistance au feu normalisée du procédé doit être indiquée en conformité avec la règlementation (réalisation d’un PV feu et/ou d’une appréciation de laboratoire agréé).</w:t>
      </w:r>
    </w:p>
    <w:p>
      <w:pPr/>
      <w:r>
        <w:rPr>
          <w:b/>
          <w:bCs/>
        </w:rPr>
        <w:t xml:space="preserve">Justification</w:t>
      </w:r>
    </w:p>
    <w:p>
      <w:pPr/>
      <w:r>
        <w:rPr/>
        <w:t xml:space="preserve">Un Procès-Verbal de résistance ou une Appréciation de laboratoire de résistance au feu établi par un laboratoire agréé, couvrant les produits et leurs utilisations (vis-à-vis de la réglementation incendie en vigueur), en précisant les dimensions limites des panneaux, les revêtements, le type et le niveau de chargement.</w:t>
      </w:r>
    </w:p>
    <w:p>
      <w:pPr>
        <w:ind w:left="1440" w:right="0"/>
      </w:pPr>
      <w:r>
        <w:rPr>
          <w:rStyle w:val="font_h3"/>
        </w:rPr>
        <w:t xml:space="preserve">10.2.3. Dispositions constructives permettant d’éviter la propagation du feu</w:t>
      </w:r>
    </w:p>
    <w:p>
      <w:pPr/>
      <w:r>
        <w:rPr/>
        <w:t xml:space="preserve">Validé par le Groupe Spécialisé le 10/10/2024</w:t>
      </w:r>
    </w:p>
    <w:p>
      <w:pPr/>
      <w:r>
        <w:rPr>
          <w:b/>
          <w:bCs/>
        </w:rPr>
        <w:t xml:space="preserve">Description</w:t>
      </w:r>
    </w:p>
    <w:p>
      <w:pPr/>
      <w:r>
        <w:rPr/>
        <w:t xml:space="preserve">Les dispositions constructives permettant de limiter le risque de propagation du feu par les façades, dont la participation à l’indice C+D (écran thermique, jonction façade / plancher) devront être déterminées dans l’Appréciation de Laboratoire au Feu. Dans le cas d’intégration de modénatures de façade et/ou de brises soleil ou de spécifications complémentaires sur les côtes C+D vis-à-vis d’éléments non explicitement visés dans les Appréciations de Laboratoire au feu, un Avis de chantier conformément à l’Arrêté du 22 mars 2004 modifié devra être réalisé. Les éléments non-visés explicitement par l'Appréciation de Laboratoire au Feu Devront être clairement indiqués dans l'Avis Technique.Les éléments non visés explicitement par l'Appréciation de Laboratoire au Feu devront être clairement indiqués dans l'Avis Technique.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visés, les revêtements, le type et le niveau de chargement.</w:t>
      </w:r>
    </w:p>
    <w:p>
      <w:pPr/>
      <w:r>
        <w:rPr>
          <w:rStyle w:val="font_h1"/>
        </w:rPr>
        <w:t xml:space="preserve">11. Performances thermiques</w:t>
      </w:r>
    </w:p>
    <w:p>
      <w:pPr/>
      <w:r>
        <w:rPr/>
        <w:t xml:space="preserve">Validé par le Groupe Spécialisé le 14/02/2019</w:t>
      </w:r>
    </w:p>
    <w:p>
      <w:pPr/>
      <w:r>
        <w:rPr>
          <w:b/>
          <w:bCs/>
        </w:rPr>
        <w:t xml:space="preserve">Description</w:t>
      </w:r>
    </w:p>
    <w:p>
      <w:pPr/>
      <w:r>
        <w:rPr/>
        <w:t xml:space="preserve">Détailler les méthodes de détermination des performances thermiques du procédé. </w:t>
      </w:r>
    </w:p>
    <w:p>
      <w:pPr/>
      <w:r>
        <w:rPr/>
        <w:t xml:space="preserve">Préciser les dispositions adoptées pour justifier l'absence de risque de condensation.</w:t>
      </w:r>
    </w:p>
    <w:p>
      <w:pPr/>
      <w:r>
        <w:rPr>
          <w:b/>
          <w:bCs/>
        </w:rPr>
        <w:t xml:space="preserve">Jurisprudence GS3.2</w:t>
      </w:r>
      <w:r>
        <w:rPr/>
        <w:t xml:space="preserve"> </w:t>
      </w:r>
    </w:p>
    <w:p>
      <w:pPr/>
      <w:r>
        <w:rPr/>
        <w:t xml:space="preserve">Un pare-vapeur sera systématiquement mis en œuvre sur la face du panneau exposée au climat intérieur (entre le panneau et l'ouvrage en plaque de plâtre). La valeur de Sd (épaisseur de lame d’air équivalente) du pare-vapeur sera au minimum de 18m lorsque le revêtement extérieur est ventilé et de 90m dans le cas contraire.</w:t>
      </w:r>
    </w:p>
    <w:p>
      <w:pPr/>
      <w:r>
        <w:rPr>
          <w:rStyle w:val="font_h1"/>
        </w:rPr>
        <w:t xml:space="preserve">12. Performances acoustiques</w:t>
      </w:r>
    </w:p>
    <w:p>
      <w:pPr/>
      <w:r>
        <w:rPr/>
        <w:t xml:space="preserve">Validé par le Groupe Spécialisé le 14/02/2019</w:t>
      </w:r>
    </w:p>
    <w:p>
      <w:pPr/>
      <w:r>
        <w:rPr>
          <w:b/>
          <w:bCs/>
        </w:rPr>
        <w:t xml:space="preserve">Description</w:t>
      </w:r>
    </w:p>
    <w:p>
      <w:pPr/>
      <w:r>
        <w:rPr/>
        <w:t xml:space="preserve">En fonction du domaine d’emploi, des performances acoustiques peuvent être nécessaire vis-à-vis de l’isolement au bruit aérien (selon la règlementation acoustique en vigueur).</w:t>
      </w:r>
    </w:p>
    <w:p>
      <w:pPr/>
      <w:r>
        <w:rPr>
          <w:b/>
          <w:bCs/>
        </w:rPr>
        <w:t xml:space="preserve">Justification</w:t>
      </w:r>
    </w:p>
    <w:p>
      <w:pPr>
        <w:pPr/>
        <w:numPr>
          <w:ilvl w:val="0"/>
          <w:numId w:val="24"/>
        </w:numPr>
      </w:pPr>
      <w:r>
        <w:rPr/>
        <w:t xml:space="preserve">Rapports d'essais de détermination des indices d'affaiblissement acoustique des murs daté de moins de 10 ans;</w:t>
      </w:r>
    </w:p>
    <w:p>
      <w:pPr>
        <w:pPr/>
        <w:numPr>
          <w:ilvl w:val="0"/>
          <w:numId w:val="24"/>
        </w:numPr>
      </w:pPr>
      <w:r>
        <w:rPr/>
        <w:t xml:space="preserve">PV acoustique donnant l'indice d'affaiblissement global Rw des panneaux.</w:t>
      </w:r>
    </w:p>
    <w:p>
      <w:pPr/>
      <w:r>
        <w:rPr>
          <w:rStyle w:val="font_h1"/>
        </w:rPr>
        <w:t xml:space="preserve">13. Protection des panneaux</w:t>
      </w:r>
    </w:p>
    <w:p>
      <w:pPr/>
      <w:r>
        <w:rPr/>
        <w:t xml:space="preserve">Validé par le Groupe Spécialisé le 21/04/2022</w:t>
      </w:r>
    </w:p>
    <w:p>
      <w:pPr/>
      <w:r>
        <w:rPr>
          <w:b/>
          <w:bCs/>
        </w:rPr>
        <w:t xml:space="preserve">Description</w:t>
      </w:r>
    </w:p>
    <w:p>
      <w:pPr/>
      <w:r>
        <w:rPr/>
        <w:t xml:space="preserve">Détailler les modalités de protection contre la pluie et l'humidité des panneaux sur chantier. </w:t>
      </w:r>
    </w:p>
    <w:p>
      <w:pPr/>
      <w:r>
        <w:rPr/>
        <w:t xml:space="preserve">Lorsque les panneaux bois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importante.Les panneaux ne doivent pas être posés directement sur le sol, afin d’éviter les salissures et les reprises d’humidité, ni sur une surface non plane qui peut provoquer des déformations.</w:t>
      </w:r>
    </w:p>
    <w:p>
      <w:pPr/>
      <w:r>
        <w:rPr/>
        <w:t xml:space="preserve">La protection des panneaux devra être réalisée conformément aux §6.2 et §6.3.4.2 du Cahier 3802_P2.</w:t>
      </w:r>
    </w:p>
    <w:p>
      <w:pPr/>
      <w:r>
        <w:rPr>
          <w:rStyle w:val="font_h1"/>
        </w:rPr>
        <w:t xml:space="preserve">14. Assistance technique</w:t>
      </w:r>
    </w:p>
    <w:p>
      <w:pPr/>
      <w:r>
        <w:rPr/>
        <w:t xml:space="preserve">Validé par le Groupe Spécialisé le 14/02/2019</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 selon les prescriptions du dossier technique.</w:t>
      </w:r>
    </w:p>
    <w:p>
      <w:pPr/>
      <w:r>
        <w:rPr>
          <w:b/>
          <w:bCs/>
        </w:rPr>
        <w:t xml:space="preserve">Justification</w:t>
      </w:r>
    </w:p>
    <w:p>
      <w:pPr/>
      <w:r>
        <w:rPr/>
        <w:t xml:space="preserve">Joindre une liste de Bureau d'Etudes ayants les capacités de dimensionner les panneaux selon le dossier technique.</w:t>
      </w:r>
    </w:p>
    <w:p>
      <w:pPr/>
      <w:r>
        <w:rPr>
          <w:rStyle w:val="font_h1"/>
        </w:rPr>
        <w:t xml:space="preserve">15. Données environnementales et sanitaires</w:t>
      </w:r>
    </w:p>
    <w:p>
      <w:pPr/>
      <w:r>
        <w:rPr/>
        <w:t xml:space="preserve">Validé par le Groupe Spécialisé le 14/02/2019</w:t>
      </w:r>
    </w:p>
    <w:p>
      <w:pPr/>
      <w:r>
        <w:rPr>
          <w:b/>
          <w:bCs/>
        </w:rPr>
        <w:t xml:space="preserve">Description</w:t>
      </w:r>
    </w:p>
    <w:p>
      <w:pPr/>
      <w:r>
        <w:rPr/>
        <w:t xml:space="preserve">Préciser si le procédé de panneau bois fait l’objet d’une Déclaration Environnementale (DE) au sens de l’arrêté du 31 aout 2015.</w:t>
      </w:r>
    </w:p>
    <w:p>
      <w:pPr/>
      <w:r>
        <w:rPr>
          <w:rStyle w:val="font_h1"/>
        </w:rPr>
        <w:t xml:space="preserve">16. Tableaux et figures du Dossier Technique</w:t>
      </w:r>
    </w:p>
    <w:p>
      <w:pPr/>
      <w:r>
        <w:rPr/>
        <w:t xml:space="preserve">Validé par le Groupe Spécialisé le 14/02/2019</w:t>
      </w:r>
    </w:p>
    <w:p>
      <w:pPr/>
      <w:r>
        <w:rPr>
          <w:b/>
          <w:bCs/>
        </w:rPr>
        <w:t xml:space="preserve">Description</w:t>
      </w:r>
    </w:p>
    <w:p>
      <w:pPr/>
      <w:r>
        <w:rPr/>
        <w:t xml:space="preserve">Les tableaux suivants doivent être présents dans la partie « Tableaux et Figures du Dossier Technique » :</w:t>
      </w:r>
    </w:p>
    <w:p>
      <w:pPr>
        <w:pPr/>
        <w:numPr>
          <w:ilvl w:val="0"/>
          <w:numId w:val="25"/>
        </w:numPr>
      </w:pPr>
      <w:r>
        <w:rPr/>
        <w:t xml:space="preserve">Tableau présentant la gamme de panneau du fabricant (type de panneau, épaisseur, nombre de pli) ;</w:t>
      </w:r>
    </w:p>
    <w:p>
      <w:pPr>
        <w:pPr/>
        <w:numPr>
          <w:ilvl w:val="0"/>
          <w:numId w:val="25"/>
        </w:numPr>
      </w:pPr>
      <w:r>
        <w:rPr/>
        <w:t xml:space="preserve">Tableau des résistances caractéristiques des différents panneaux ;</w:t>
      </w:r>
    </w:p>
    <w:p>
      <w:pPr>
        <w:pPr/>
        <w:numPr>
          <w:ilvl w:val="0"/>
          <w:numId w:val="25"/>
        </w:numPr>
      </w:pPr>
      <w:r>
        <w:rPr/>
        <w:t xml:space="preserve">Tableau des propriétés mécaniques des planches de bois utilisées.</w:t>
      </w:r>
    </w:p>
    <w:p>
      <w:pPr/>
      <w:r>
        <w:rPr/>
        <w:t xml:space="preserve">Les figures suivantes doivent être présentes dans cette même partie :</w:t>
      </w:r>
    </w:p>
    <w:p>
      <w:pPr>
        <w:pPr/>
        <w:numPr>
          <w:ilvl w:val="0"/>
          <w:numId w:val="26"/>
        </w:numPr>
      </w:pPr>
      <w:r>
        <w:rPr/>
        <w:t xml:space="preserve">Exemples de calepinage des panneaux ;</w:t>
      </w:r>
    </w:p>
    <w:p>
      <w:pPr>
        <w:pPr/>
        <w:numPr>
          <w:ilvl w:val="0"/>
          <w:numId w:val="26"/>
        </w:numPr>
      </w:pPr>
      <w:r>
        <w:rPr/>
        <w:t xml:space="preserve">Exemples de composition de paroi de mur ;</w:t>
      </w:r>
    </w:p>
    <w:p>
      <w:pPr>
        <w:pPr/>
        <w:numPr>
          <w:ilvl w:val="0"/>
          <w:numId w:val="26"/>
        </w:numPr>
      </w:pPr>
      <w:r>
        <w:rPr/>
        <w:t xml:space="preserve">Exemples d’assemblages murs en panneaux bois/ planchers (CLT, solives, métallique, béton) ;</w:t>
      </w:r>
    </w:p>
    <w:p>
      <w:pPr>
        <w:pPr/>
        <w:numPr>
          <w:ilvl w:val="0"/>
          <w:numId w:val="26"/>
        </w:numPr>
      </w:pPr>
      <w:r>
        <w:rPr/>
        <w:t xml:space="preserve">Exemples d’assemblage murs en panneaux bois/ soubassement béton ;</w:t>
      </w:r>
    </w:p>
    <w:p>
      <w:pPr>
        <w:pPr/>
        <w:numPr>
          <w:ilvl w:val="0"/>
          <w:numId w:val="26"/>
        </w:numPr>
      </w:pPr>
      <w:r>
        <w:rPr/>
        <w:t xml:space="preserve">Exemples d’assemblages entre un mur et une cloison/ mur de refend ;</w:t>
      </w:r>
    </w:p>
    <w:p>
      <w:pPr>
        <w:pPr/>
        <w:numPr>
          <w:ilvl w:val="0"/>
          <w:numId w:val="26"/>
        </w:numPr>
      </w:pPr>
      <w:r>
        <w:rPr/>
        <w:t xml:space="preserve">Exemples d’intégration des menuiseries dans un panneau bois (linteaux, calfeutrement).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D1E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A65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739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33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A37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AA1B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EF3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4D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335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625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4E6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87C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4EA2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4B51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29F2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862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28D3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4B31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2026-07-01T06:18:28+02:00</dcterms:created>
  <dcterms:modified xsi:type="dcterms:W3CDTF">2026-07-01T06:18:28+02:00</dcterms:modified>
</cp:coreProperties>
</file>

<file path=docProps/custom.xml><?xml version="1.0" encoding="utf-8"?>
<Properties xmlns="http://schemas.openxmlformats.org/officeDocument/2006/custom-properties" xmlns:vt="http://schemas.openxmlformats.org/officeDocument/2006/docPropsVTypes"/>
</file>