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14.4 - Édité le 09/08/2026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14.4 « Equipements / Solaire thermique et récupération d’énergie par vecteur eau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Système énergétique hybride</w:t>
      </w:r>
    </w:p>
    <w:p>
      <w:pPr/>
      <w:r>
        <w:rPr>
          <w:rStyle w:val="font_h1"/>
        </w:rPr>
        <w:t xml:space="preserve">1. Fabrication et contrôles de production en usine</w:t>
      </w:r>
    </w:p>
    <w:p>
      <w:pPr/>
      <w:r>
        <w:rPr/>
        <w:t xml:space="preserve">Validé par le Groupe Spécialisé le 14/10/2021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Contrôle de production :</w:t>
      </w:r>
    </w:p>
    <w:p>
      <w:pPr>
        <w:pPr/>
        <w:numPr>
          <w:ilvl w:val="0"/>
          <w:numId w:val="9"/>
        </w:numPr>
      </w:pPr>
      <w:r>
        <w:rPr/>
        <w:t xml:space="preserve">Fournir le nom et l'adresse des principaux sites de fabrication.</w:t>
      </w:r>
    </w:p>
    <w:p>
      <w:pPr>
        <w:pPr/>
        <w:numPr>
          <w:ilvl w:val="0"/>
          <w:numId w:val="9"/>
        </w:numPr>
      </w:pPr>
      <w:r>
        <w:rPr/>
        <w:t xml:space="preserve">A la demande du GS n°14.4, les informations suivantes sont systématiquement publiées : ville et pays du site de fabrication.</w:t>
      </w:r>
    </w:p>
    <w:p>
      <w:pPr>
        <w:pPr/>
        <w:numPr>
          <w:ilvl w:val="0"/>
          <w:numId w:val="9"/>
        </w:numPr>
      </w:pPr>
      <w:r>
        <w:rPr/>
        <w:t xml:space="preserve">A la demande du GS n°14.4, la fabrication doit faire l'objet d'un suivi.</w:t>
      </w:r>
    </w:p>
    <w:p>
      <w:pPr>
        <w:pPr/>
        <w:numPr>
          <w:ilvl w:val="0"/>
          <w:numId w:val="9"/>
        </w:numPr>
      </w:pPr>
      <w:r>
        <w:rPr/>
        <w:t xml:space="preserve">Décrire les points de contrôles particuliers et leur fréquence.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Le demandeur doit proposer des modalités de suivi adaptées aux risques de son procédé.Si la fabrication est certifiée suivant la norme ISO 9001, fournir le certificat.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Pour les procédés hybrides apparentés aux capteurs à air : un suivi uniquement documentaire est insuffisant.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81AF72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2026-08-09T15:34:35+02:00</dcterms:created>
  <dcterms:modified xsi:type="dcterms:W3CDTF">2026-08-09T15:34:35+02:00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