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25/06/2026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Système énergétique hybride</w:t>
      </w:r>
    </w:p>
    <w:p>
      <w:pPr/>
      <w:r>
        <w:rPr>
          <w:rStyle w:val="font_h1"/>
        </w:rPr>
        <w:t xml:space="preserve">1. Fabrication et contrôles de production en usine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:</w:t>
      </w:r>
    </w:p>
    <w:p>
      <w:pPr>
        <w:pPr/>
        <w:numPr>
          <w:ilvl w:val="0"/>
          <w:numId w:val="9"/>
        </w:numPr>
      </w:pPr>
      <w:r>
        <w:rPr/>
        <w:t xml:space="preserve">Fournir le nom et l'adresse des principaux sites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9"/>
        </w:numPr>
      </w:pPr>
      <w:r>
        <w:rPr/>
        <w:t xml:space="preserve">A la demande du GS n°14.4, la fabrication doit faire l'objet d'un suivi.</w:t>
      </w:r>
    </w:p>
    <w:p>
      <w:pPr>
        <w:pPr/>
        <w:numPr>
          <w:ilvl w:val="0"/>
          <w:numId w:val="9"/>
        </w:numPr>
      </w:pPr>
      <w:r>
        <w:rPr/>
        <w:t xml:space="preserve">Décrire les points de contrôles particuliers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Le demandeur doit proposer des modalités de suivi adaptées aux risques de son procédé.Si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Pour les procédés hybrides apparentés aux capteurs à air : un suivi uniquement documentaire est insuffisant.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37B3CF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2026-06-25T13:25:21+02:00</dcterms:created>
  <dcterms:modified xsi:type="dcterms:W3CDTF">2026-06-25T13:25:21+02:00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