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3.3 - Édité le 16/01/2026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3.3 « Structures tridimensionnelles, ouvrages de fondation et d’infrastructure »</w:t>
      </w:r>
    </w:p>
    <w:p>
      <w:pPr/>
      <w:r>
        <w:rPr>
          <w:rStyle w:val="font_default"/>
        </w:rPr>
        <w:t xml:space="preserve">Famille de produits ou procédés : </w:t>
      </w:r>
      <w:r>
        <w:rPr>
          <w:rStyle w:val="font_h3"/>
        </w:rPr>
        <w:t xml:space="preserve">Procédé de renforcement du sol</w:t>
      </w:r>
    </w:p>
    <w:p>
      <w:pPr/>
      <w:r>
        <w:rPr>
          <w:rStyle w:val="font_h1"/>
        </w:rPr>
        <w:t xml:space="preserve">1. Principe</w:t>
      </w:r>
    </w:p>
    <w:p>
      <w:pPr/>
      <w:r>
        <w:rPr/>
        <w:t xml:space="preserve">Validé par le Groupe Spécialisé le 20/11/2018</w:t>
      </w:r>
    </w:p>
    <w:p>
      <w:pPr/>
      <w:r>
        <w:rPr>
          <w:b/>
          <w:bCs/>
        </w:rPr>
        <w:t xml:space="preserve">Description</w:t>
      </w:r>
    </w:p>
    <w:p>
      <w:pPr/>
      <w:r>
        <w:rPr/>
        <w:t xml:space="preserve">Cette liste ne vise que les procédés de renforcements du sol par injection.</w:t>
      </w:r>
    </w:p>
    <w:p>
      <w:pPr/>
      <w:r>
        <w:rPr/>
        <w:t xml:space="preserve">Description et utilisation du procédé de renforcement par injection :Rôle et principe de fonctionnement du procédé.</w:t>
      </w:r>
    </w:p>
    <w:p>
      <w:pPr/>
      <w:r>
        <w:rPr>
          <w:rStyle w:val="font_h1"/>
        </w:rPr>
        <w:t xml:space="preserve">2. Domaine d'emploi</w:t>
      </w:r>
    </w:p>
    <w:p>
      <w:pPr/>
      <w:r>
        <w:rPr/>
        <w:t xml:space="preserve">Validé par le Groupe Spécialisé le 20/11/2018</w:t>
      </w:r>
    </w:p>
    <w:p>
      <w:pPr/>
      <w:r>
        <w:rPr>
          <w:b/>
          <w:bCs/>
        </w:rPr>
        <w:t xml:space="preserve">Description</w:t>
      </w:r>
    </w:p>
    <w:p>
      <w:pPr/>
      <w:r>
        <w:rPr/>
        <w:t xml:space="preserve">Décrire le procédé et la technique de traitement.</w:t>
      </w:r>
    </w:p>
    <w:p>
      <w:pPr/>
      <w:r>
        <w:rPr/>
        <w:t xml:space="preserve">Expliquer le rôle de l'injection.</w:t>
      </w:r>
    </w:p>
    <w:p>
      <w:pPr/>
      <w:r>
        <w:rPr/>
        <w:t xml:space="preserve">Préciser que les normes de références sont :</w:t>
      </w:r>
    </w:p>
    <w:p>
      <w:pPr>
        <w:pPr/>
        <w:numPr>
          <w:ilvl w:val="0"/>
          <w:numId w:val="9"/>
        </w:numPr>
      </w:pPr>
      <w:r>
        <w:rPr/>
        <w:t xml:space="preserve">NF EN 1997-1 : Calculs géotechniques ;</w:t>
      </w:r>
    </w:p>
    <w:p>
      <w:pPr>
        <w:pPr/>
        <w:numPr>
          <w:ilvl w:val="0"/>
          <w:numId w:val="9"/>
        </w:numPr>
      </w:pPr>
      <w:r>
        <w:rPr/>
        <w:t xml:space="preserve">NF EN 12715 : Exécution des travaux géotechniques spéciaux – injection ;</w:t>
      </w:r>
    </w:p>
    <w:p>
      <w:pPr>
        <w:pPr/>
        <w:numPr>
          <w:ilvl w:val="0"/>
          <w:numId w:val="9"/>
        </w:numPr>
      </w:pPr>
      <w:r>
        <w:rPr/>
        <w:t xml:space="preserve">NF P 94-500 : Missions d’ingénierie géotechniques – Classification et spécifications.</w:t>
      </w:r>
    </w:p>
    <w:p>
      <w:pPr/>
      <w:r>
        <w:rPr/>
        <w:t xml:space="preserve">Préciser le domaine d’emploi du procédé (bâtiment neuf, réhabilitation, etc…), les ouvrages concernés et les normes y afférent. </w:t>
      </w:r>
    </w:p>
    <w:p>
      <w:pPr/>
      <w:r>
        <w:rPr/>
        <w:t xml:space="preserve">Préciser l’utilisation en zone sismique.</w:t>
      </w:r>
    </w:p>
    <w:p>
      <w:pPr/>
      <w:r>
        <w:rPr/>
        <w:t xml:space="preserve">Les types de sol visés devront être clairement spécifiés (indice de plasticité, présence de nappe, hors gel, roche, …).</w:t>
      </w:r>
    </w:p>
    <w:p>
      <w:pPr/>
      <w:r>
        <w:rPr>
          <w:rStyle w:val="font_h1"/>
        </w:rPr>
        <w:t xml:space="preserve">3. Matériaux</w:t>
      </w:r>
    </w:p>
    <w:p>
      <w:pPr>
        <w:ind w:left="720" w:right="0"/>
      </w:pPr>
      <w:r>
        <w:rPr>
          <w:rStyle w:val="font_h2"/>
        </w:rPr>
        <w:t xml:space="preserve">3.1. Caractéristiques du matériau</w:t>
      </w:r>
    </w:p>
    <w:p>
      <w:pPr/>
      <w:r>
        <w:rPr/>
        <w:t xml:space="preserve">Validé par le Groupe Spécialisé le 20/11/2018</w:t>
      </w:r>
    </w:p>
    <w:p>
      <w:pPr/>
      <w:r>
        <w:rPr>
          <w:b/>
          <w:bCs/>
        </w:rPr>
        <w:t xml:space="preserve">Description</w:t>
      </w:r>
    </w:p>
    <w:p>
      <w:pPr/>
      <w:r>
        <w:rPr/>
        <w:t xml:space="preserve">Décrire les propriétés du matériau : </w:t>
      </w:r>
    </w:p>
    <w:p>
      <w:pPr>
        <w:pPr/>
        <w:numPr>
          <w:ilvl w:val="0"/>
          <w:numId w:val="10"/>
        </w:numPr>
      </w:pPr>
      <w:r>
        <w:rPr/>
        <w:t xml:space="preserve">La résistance à la compression à court et long terme (fluage) en statique et en cyclique ; </w:t>
      </w:r>
    </w:p>
    <w:p>
      <w:pPr>
        <w:pPr/>
        <w:numPr>
          <w:ilvl w:val="0"/>
          <w:numId w:val="10"/>
        </w:numPr>
      </w:pPr>
      <w:r>
        <w:rPr/>
        <w:t xml:space="preserve">La résistance à la flexion et à la traction (cisaillement dans le sol du matériau) du matériau ; </w:t>
      </w:r>
    </w:p>
    <w:p>
      <w:pPr>
        <w:pPr/>
        <w:numPr>
          <w:ilvl w:val="0"/>
          <w:numId w:val="10"/>
        </w:numPr>
      </w:pPr>
      <w:r>
        <w:rPr/>
        <w:t xml:space="preserve">La loi d'expansion du matériau (pression de gonflement maximale) ; </w:t>
      </w:r>
    </w:p>
    <w:p>
      <w:pPr>
        <w:pPr/>
        <w:numPr>
          <w:ilvl w:val="0"/>
          <w:numId w:val="10"/>
        </w:numPr>
      </w:pPr>
      <w:r>
        <w:rPr/>
        <w:t xml:space="preserve">La perméabilité du matériau ;</w:t>
      </w:r>
    </w:p>
    <w:p>
      <w:pPr>
        <w:pPr/>
        <w:numPr>
          <w:ilvl w:val="0"/>
          <w:numId w:val="10"/>
        </w:numPr>
      </w:pPr>
      <w:r>
        <w:rPr/>
        <w:t xml:space="preserve">Durabilité du matériau (résistance aux champignons et bactéries, aux agents chimique et comportement du matériau dans l’eau) ;</w:t>
      </w:r>
    </w:p>
    <w:p>
      <w:pPr>
        <w:pPr/>
        <w:numPr>
          <w:ilvl w:val="0"/>
          <w:numId w:val="10"/>
        </w:numPr>
      </w:pPr>
      <w:r>
        <w:rPr/>
        <w:t xml:space="preserve">L’aspect environnementale du matériau (risque de pollution des eaux dans le sol, etc…).</w:t>
      </w:r>
    </w:p>
    <w:p>
      <w:pPr/>
      <w:r>
        <w:rPr>
          <w:b/>
          <w:bCs/>
        </w:rPr>
        <w:t xml:space="preserve">Justification</w:t>
      </w:r>
    </w:p>
    <w:p>
      <w:pPr/>
      <w:r>
        <w:rPr/>
        <w:t xml:space="preserve">Fournir les rapports d'essais.</w:t>
      </w:r>
    </w:p>
    <w:p>
      <w:pPr/>
      <w:r>
        <w:rPr>
          <w:rStyle w:val="font_h1"/>
        </w:rPr>
        <w:t xml:space="preserve">4. Fabrication – contrôles en usine</w:t>
      </w:r>
    </w:p>
    <w:p>
      <w:pPr/>
      <w:r>
        <w:rPr/>
        <w:t xml:space="preserve">Validé par le Groupe Spécialisé le 20/11/2018</w:t>
      </w:r>
    </w:p>
    <w:p>
      <w:pPr/>
      <w:r>
        <w:rPr>
          <w:b/>
          <w:bCs/>
        </w:rPr>
        <w:t xml:space="preserve">Description</w:t>
      </w:r>
    </w:p>
    <w:p>
      <w:pPr/>
      <w:r>
        <w:rPr/>
        <w:t xml:space="preserve">Préciser : • La vérification des matières premières ; • Le processus de vérification interne et externe des propriétés critiques.</w:t>
      </w:r>
    </w:p>
    <w:p>
      <w:pPr/>
      <w:r>
        <w:rPr/>
        <w:t xml:space="preserve">Ces contrôles devront permettre de s’assurer de la constance des performances du procédé.</w:t>
      </w:r>
    </w:p>
    <w:p>
      <w:pPr/>
      <w:r>
        <w:rPr>
          <w:b/>
          <w:bCs/>
        </w:rPr>
        <w:t xml:space="preserve">Justification</w:t>
      </w:r>
    </w:p>
    <w:p>
      <w:pPr/>
      <w:r>
        <w:rPr/>
        <w:t xml:space="preserve">Fournir un Plan d’Assurance Qualité de l’usine et les registres de contrôle de production internes et/ou externes.</w:t>
      </w:r>
    </w:p>
    <w:p>
      <w:pPr/>
      <w:r>
        <w:rPr>
          <w:rStyle w:val="font_h1"/>
        </w:rPr>
        <w:t xml:space="preserve">5. Conception et Dimensionnement</w:t>
      </w:r>
    </w:p>
    <w:p>
      <w:pPr/>
      <w:r>
        <w:rPr/>
        <w:t xml:space="preserve">Validé par le Groupe Spécialisé le 20/11/2018</w:t>
      </w:r>
    </w:p>
    <w:p>
      <w:pPr/>
      <w:r>
        <w:rPr>
          <w:b/>
          <w:bCs/>
        </w:rPr>
        <w:t xml:space="preserve">Description</w:t>
      </w:r>
    </w:p>
    <w:p>
      <w:pPr/>
      <w:r>
        <w:rPr/>
        <w:t xml:space="preserve">Distinguer et préciser le dimensionnement dans le cas de la réhabilitation et dans le cas d’amélioration de la portance du sol.</w:t>
      </w:r>
    </w:p>
    <w:p>
      <w:pPr/>
      <w:r>
        <w:rPr/>
        <w:t xml:space="preserve">Préciser que pour la reconnaissance géotechnique, le rapport d’étude de sol doit être réalisé suivant la norme NF P 94-500 (correspondant à une mission G2).</w:t>
      </w:r>
    </w:p>
    <w:p>
      <w:pPr/>
      <w:r>
        <w:rPr/>
        <w:t xml:space="preserve">•   Modalité de diffusion en fonction de la nature des sols (bulbe d'influence) ;</w:t>
      </w:r>
    </w:p>
    <w:p>
      <w:pPr/>
      <w:r>
        <w:rPr/>
        <w:t xml:space="preserve">•   Le principe de dimensionnement du procédé (préciser qui prend en charge le dimensionnement du procédé, justification du maillage des points d’injection, détermination du volume de matériau à injecter, évaluation du taux d’amélioration du sol avant travaux, vérification du taux d’amélioration du sol après travaux, évaluation du module et de la résistance,…) ; </w:t>
      </w:r>
    </w:p>
    <w:p>
      <w:pPr/>
      <w:r>
        <w:rPr/>
        <w:t xml:space="preserve">•   La perméabilité et durabilité du procédé.</w:t>
      </w:r>
    </w:p>
    <w:p>
      <w:pPr/>
      <w:r>
        <w:rPr>
          <w:b/>
          <w:bCs/>
        </w:rPr>
        <w:t xml:space="preserve">Justification</w:t>
      </w:r>
    </w:p>
    <w:p>
      <w:pPr/>
      <w:r>
        <w:rPr/>
        <w:t xml:space="preserve">•   Justification du comportement et du mode de diffusion dans les différents types de sol visés (essais comparatifs sur sols avant et après injection, essais de perméabilité sur sol avant et après injection …) ;</w:t>
      </w:r>
    </w:p>
    <w:p>
      <w:pPr/>
      <w:r>
        <w:rPr/>
        <w:t xml:space="preserve">•   Justification sur l’absence de création de phénomène de points durs (notamment pour les dallages) ;</w:t>
      </w:r>
    </w:p>
    <w:p>
      <w:pPr/>
      <w:r>
        <w:rPr/>
        <w:t xml:space="preserve">•   Justification de l’intégrité de l’ouvrage lors de l’injection ;</w:t>
      </w:r>
    </w:p>
    <w:p>
      <w:pPr/>
      <w:r>
        <w:rPr>
          <w:rStyle w:val="font_h1"/>
        </w:rPr>
        <w:t xml:space="preserve">6. Mise en œuvre</w:t>
      </w:r>
    </w:p>
    <w:p>
      <w:pPr>
        <w:ind w:left="720" w:right="0"/>
      </w:pPr>
      <w:r>
        <w:rPr>
          <w:rStyle w:val="font_h2"/>
        </w:rPr>
        <w:t xml:space="preserve">6.1. Entreprises applicatrices</w:t>
      </w:r>
    </w:p>
    <w:p>
      <w:pPr/>
      <w:r>
        <w:rPr/>
        <w:t xml:space="preserve">Validé par le Groupe Spécialisé le 20/11/2018</w:t>
      </w:r>
    </w:p>
    <w:p>
      <w:pPr/>
      <w:r>
        <w:rPr>
          <w:b/>
          <w:bCs/>
        </w:rPr>
        <w:t xml:space="preserve">Description</w:t>
      </w:r>
    </w:p>
    <w:p>
      <w:pPr/>
      <w:r>
        <w:rPr/>
        <w:t xml:space="preserve">Identification du rôle des différents intervenants :Fabrication, dimensionnement, mis en œuvre (formation des entreprises de pose), assistance technique délivrée par le titulaire pour le dimensionnement et la mise en œuvre.Préciser que l’identification des rôles des différents intervenants est conforme à la norme NF P 94-500.</w:t>
      </w:r>
    </w:p>
    <w:p>
      <w:pPr/>
      <w:r>
        <w:rPr>
          <w:b/>
          <w:bCs/>
        </w:rPr>
        <w:t xml:space="preserve">Justification</w:t>
      </w:r>
    </w:p>
    <w:p>
      <w:pPr/>
      <w:r>
        <w:rPr/>
        <w:t xml:space="preserve">Fournir un Plan d'Assurance Qualité Chantier.</w:t>
      </w:r>
    </w:p>
    <w:p>
      <w:pPr>
        <w:ind w:left="720" w:right="0"/>
      </w:pPr>
      <w:r>
        <w:rPr>
          <w:rStyle w:val="font_h2"/>
        </w:rPr>
        <w:t xml:space="preserve">6.2. Mise en œuvre du procédé et contrôles chantier</w:t>
      </w:r>
    </w:p>
    <w:p>
      <w:pPr/>
      <w:r>
        <w:rPr/>
        <w:t xml:space="preserve">Validé par le Groupe Spécialisé le 20/11/2018</w:t>
      </w:r>
    </w:p>
    <w:p>
      <w:pPr/>
      <w:r>
        <w:rPr>
          <w:b/>
          <w:bCs/>
        </w:rPr>
        <w:t xml:space="preserve">Description</w:t>
      </w:r>
    </w:p>
    <w:p>
      <w:pPr/>
      <w:r>
        <w:rPr/>
        <w:t xml:space="preserve">Préciser :</w:t>
      </w:r>
    </w:p>
    <w:p>
      <w:pPr/>
      <w:r>
        <w:rPr/>
        <w:t xml:space="preserve">•   Les conditions de réception du terrain (Etude géotechnique préalable, comment est garanti le positionnement du maillage, comment sont repérés les ouvrages existants (réseaux, murs enterrés, …), comment est garanti le bon remplissage, etc…) ;</w:t>
      </w:r>
    </w:p>
    <w:p>
      <w:pPr/>
      <w:r>
        <w:rPr/>
        <w:t xml:space="preserve">•   Les contrôles matériel (générateur, appareillage spécifique pour le mélange des produits, système d’injection, …) ; </w:t>
      </w:r>
    </w:p>
    <w:p>
      <w:pPr/>
      <w:r>
        <w:rPr/>
        <w:t xml:space="preserve">•   Les contrôles lors de la mise en œuvre du procédé (suivi de l’ouvrage par niveau laser, etc…) et de la Zone d'Influence Géotechnique ; </w:t>
      </w:r>
    </w:p>
    <w:p>
      <w:pPr/>
      <w:r>
        <w:rPr/>
        <w:t xml:space="preserve">•   Une description de la chronologie de la mise en œuvre du procédé. </w:t>
      </w:r>
    </w:p>
    <w:p>
      <w:pPr/>
      <w:r>
        <w:rPr/>
        <w:t xml:space="preserve">Il conviendra aussi de préciser le type d’assistance technique proposé.La profondeur maximale d’utilisation du procédé devra être justifiée (celle-ci devra être corrélée au temps de polymérisation dans le cas des résines). </w:t>
      </w:r>
    </w:p>
    <w:p>
      <w:pPr/>
      <w:r>
        <w:rPr/>
        <w:t xml:space="preserve">Concernant les contrôles au pénétromètre dynamique, la méthode n’est pas utilisable pour déterminer la contrainte et la déformation du sol. Seuls le pénétromètre statique et le pressiomètre sont acceptés.Si le procédé vise l’amélioration qualitative (réduction du tassement ou réduction de la perméabilité), alors l’utilisation des pénétromètres dynamiques est possible.</w:t>
      </w:r>
    </w:p>
    <w:p>
      <w:pPr/>
      <w:r>
        <w:rPr>
          <w:b/>
          <w:bCs/>
        </w:rPr>
        <w:t xml:space="preserve">Justification</w:t>
      </w:r>
    </w:p>
    <w:p>
      <w:pPr/>
      <w:r>
        <w:rPr/>
        <w:t xml:space="preserve">Fournir le Plan d’Assurance Qualité.</w:t>
      </w:r>
    </w:p>
    <w:p>
      <w:pPr/>
      <w:r>
        <w:rPr>
          <w:rStyle w:val="font_h1"/>
        </w:rPr>
        <w:t xml:space="preserve">7. Rôle des intervenants</w:t>
      </w:r>
    </w:p>
    <w:p>
      <w:pPr/>
      <w:r>
        <w:rPr/>
        <w:t xml:space="preserve">Validé par le Groupe Spécialisé le 20/11/2018</w:t>
      </w:r>
    </w:p>
    <w:p>
      <w:pPr/>
      <w:r>
        <w:rPr>
          <w:b/>
          <w:bCs/>
        </w:rPr>
        <w:t xml:space="preserve">Description</w:t>
      </w:r>
    </w:p>
    <w:p>
      <w:pPr/>
      <w:r>
        <w:rPr/>
        <w:t xml:space="preserve">Identification du rôle des différents intervenants :fabrication ;dimensionnement ;mise en œuvre (formation des entreprises de pose) ;assistance technique délivrée par le titulaire pour le dimensionnement et la mise en œuvre.</w:t>
      </w:r>
    </w:p>
    <w:p>
      <w:pPr/>
      <w:r>
        <w:rPr>
          <w:rStyle w:val="font_h1"/>
        </w:rPr>
        <w:t xml:space="preserve">8. Références</w:t>
      </w:r>
    </w:p>
    <w:p>
      <w:pPr/>
      <w:r>
        <w:rPr/>
        <w:t xml:space="preserve">Validé par le Groupe Spécialisé le 20/11/2018</w:t>
      </w:r>
    </w:p>
    <w:p>
      <w:pPr/>
      <w:r>
        <w:rPr>
          <w:b/>
          <w:bCs/>
        </w:rPr>
        <w:t xml:space="preserve">Description</w:t>
      </w:r>
    </w:p>
    <w:p>
      <w:pPr/>
      <w:r>
        <w:rPr/>
        <w:t xml:space="preserve">Fourniture d’une liste de référence pour la réalisation d’une enquête chantier (au moins un exemple de chantier pour chaque élément). Pour chaque référence, il faut préciser :</w:t>
      </w:r>
    </w:p>
    <w:p>
      <w:pPr>
        <w:pPr/>
        <w:numPr>
          <w:ilvl w:val="0"/>
          <w:numId w:val="11"/>
        </w:numPr>
      </w:pPr>
      <w:r>
        <w:rPr/>
        <w:t xml:space="preserve">Le type de chantier ; </w:t>
      </w:r>
    </w:p>
    <w:p>
      <w:pPr>
        <w:pPr/>
        <w:numPr>
          <w:ilvl w:val="0"/>
          <w:numId w:val="11"/>
        </w:numPr>
      </w:pPr>
      <w:r>
        <w:rPr/>
        <w:t xml:space="preserve">Le lieu ;</w:t>
      </w:r>
    </w:p>
    <w:p>
      <w:pPr>
        <w:pPr/>
        <w:numPr>
          <w:ilvl w:val="0"/>
          <w:numId w:val="11"/>
        </w:numPr>
      </w:pPr>
      <w:r>
        <w:rPr/>
        <w:t xml:space="preserve">La date de mise en œuvre ; </w:t>
      </w:r>
    </w:p>
    <w:p>
      <w:pPr>
        <w:pPr/>
        <w:numPr>
          <w:ilvl w:val="0"/>
          <w:numId w:val="11"/>
        </w:numPr>
      </w:pPr>
      <w:r>
        <w:rPr/>
        <w:t xml:space="preserve">Le contrôleur technique s’il y en a eu un ; </w:t>
      </w:r>
    </w:p>
    <w:p>
      <w:pPr>
        <w:pPr/>
        <w:numPr>
          <w:ilvl w:val="0"/>
          <w:numId w:val="11"/>
        </w:numPr>
      </w:pPr>
      <w:r>
        <w:rPr/>
        <w:t xml:space="preserve">Le volume de produit utilisé.</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8D657E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76FAD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FCC2D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2026-01-16T14:42:23+01:00</dcterms:created>
  <dcterms:modified xsi:type="dcterms:W3CDTF">2026-01-16T14:42:23+01:00</dcterms:modified>
</cp:coreProperties>
</file>

<file path=docProps/custom.xml><?xml version="1.0" encoding="utf-8"?>
<Properties xmlns="http://schemas.openxmlformats.org/officeDocument/2006/custom-properties" xmlns:vt="http://schemas.openxmlformats.org/officeDocument/2006/docPropsVTypes"/>
</file>