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Système d'injection pour scellement d'armatures rapportées</w:t>
      </w:r>
    </w:p>
    <w:p>
      <w:pPr/>
      <w:r>
        <w:rPr>
          <w:rStyle w:val="font_h1"/>
        </w:rPr>
        <w:t xml:space="preserve">1. Principe et domaine d'emploi</w:t>
      </w:r>
    </w:p>
    <w:p>
      <w:pPr/>
      <w:r>
        <w:rPr>
          <w:rStyle w:val="font_h1"/>
        </w:rPr>
        <w:t xml:space="preserve">2. Description des composants</w:t>
      </w:r>
    </w:p>
    <w:p>
      <w:pPr>
        <w:ind w:left="720" w:right="0"/>
      </w:pPr>
      <w:r>
        <w:rPr>
          <w:rStyle w:val="font_h2"/>
        </w:rPr>
        <w:t xml:space="preserve">2.1. Description des résines</w:t>
      </w:r>
    </w:p>
    <w:p>
      <w:pPr>
        <w:ind w:left="720" w:right="0"/>
      </w:pPr>
      <w:r>
        <w:rPr>
          <w:rStyle w:val="font_h2"/>
        </w:rPr>
        <w:t xml:space="preserve">2.2. Description des barres d'armatures</w:t>
      </w:r>
    </w:p>
    <w:p>
      <w:pPr/>
      <w:r>
        <w:rPr>
          <w:rStyle w:val="font_h1"/>
        </w:rPr>
        <w:t xml:space="preserve">3. Fabrication et assurance qualité</w:t>
      </w:r>
    </w:p>
    <w:p>
      <w:pPr>
        <w:ind w:left="720" w:right="0"/>
      </w:pPr>
      <w:r>
        <w:rPr>
          <w:rStyle w:val="font_h2"/>
        </w:rPr>
        <w:t xml:space="preserve">3.1. Fabrication</w:t>
      </w:r>
    </w:p>
    <w:p>
      <w:pPr>
        <w:ind w:left="720" w:right="0"/>
      </w:pPr>
      <w:r>
        <w:rPr>
          <w:rStyle w:val="font_h2"/>
        </w:rPr>
        <w:t xml:space="preserve">3.2. Contrôles de fabrication</w:t>
      </w:r>
    </w:p>
    <w:p>
      <w:pPr>
        <w:ind w:left="720" w:right="0"/>
      </w:pPr>
      <w:r>
        <w:rPr>
          <w:rStyle w:val="font_h2"/>
        </w:rPr>
        <w:t xml:space="preserve">3.3. Conditionnement et stockage</w:t>
      </w:r>
    </w:p>
    <w:p>
      <w:pPr/>
      <w:r>
        <w:rPr>
          <w:rStyle w:val="font_h1"/>
        </w:rPr>
        <w:t xml:space="preserve">4. Dimensionnement</w:t>
      </w:r>
    </w:p>
    <w:p>
      <w:pPr>
        <w:ind w:left="720" w:right="0"/>
      </w:pPr>
      <w:r>
        <w:rPr>
          <w:rStyle w:val="font_h2"/>
        </w:rPr>
        <w:t xml:space="preserve">4.1. Dimensionnement hors exigence sismique</w:t>
      </w:r>
    </w:p>
    <w:p>
      <w:pPr>
        <w:ind w:left="720" w:right="0"/>
      </w:pPr>
      <w:r>
        <w:rPr>
          <w:rStyle w:val="font_h2"/>
        </w:rPr>
        <w:t xml:space="preserve">4.2. Dimensionnement avec exigence sismique</w:t>
      </w:r>
    </w:p>
    <w:p>
      <w:pPr>
        <w:ind w:left="720" w:right="0"/>
      </w:pPr>
      <w:r>
        <w:rPr>
          <w:rStyle w:val="font_h2"/>
        </w:rPr>
        <w:t xml:space="preserve">4.3. Résistance au feu</w:t>
      </w:r>
    </w:p>
    <w:p>
      <w:pPr/>
      <w:r>
        <w:rPr/>
        <w:t xml:space="preserve">Validé par le Groupe Spécialisé le 05/12/2017</w:t>
      </w:r>
    </w:p>
    <w:p>
      <w:pPr/>
      <w:r>
        <w:rPr>
          <w:b/>
          <w:bCs/>
        </w:rPr>
        <w:t xml:space="preserve">Description</w:t>
      </w:r>
    </w:p>
    <w:p>
      <w:pPr/>
      <w:r>
        <w:rPr/>
        <w:t xml:space="preserve">Les appréciations de laboratoire sorties avant le DEE 330087-00-0601 ne sont plus recevables aujourd’hui.Seules les appréciations de laboratoires liées à une Évaluation Technique Européenne basée sur le Document d’Évaluation Européen référencé ci-dessus peuvent être utilisés.En l’absence d’une appréciation de laboratoire sur le procédé ou d’une évaluation du comportement au feu du procédé dans le cadre de l’ETE dont il relève, il est précisé dans la partie Avis que la résistance au feu du procédé n’a pas été évaluée.</w:t>
      </w:r>
    </w:p>
    <w:p>
      <w:pPr/>
      <w:r>
        <w:rPr>
          <w:rStyle w:val="font_h1"/>
        </w:rPr>
        <w:t xml:space="preserve">5. Mise en œuvre</w:t>
      </w:r>
    </w:p>
    <w:p>
      <w:pPr>
        <w:ind w:left="720" w:right="0"/>
      </w:pPr>
      <w:r>
        <w:rPr>
          <w:rStyle w:val="font_h2"/>
        </w:rPr>
        <w:t xml:space="preserve">5.1. Phasage du chantier</w:t>
      </w:r>
    </w:p>
    <w:p>
      <w:pPr>
        <w:ind w:left="720" w:right="0"/>
      </w:pPr>
      <w:r>
        <w:rPr>
          <w:rStyle w:val="font_h2"/>
        </w:rPr>
        <w:t xml:space="preserve">5.2. Procédures de pose</w:t>
      </w:r>
    </w:p>
    <w:p>
      <w:pPr>
        <w:ind w:left="720" w:right="0"/>
      </w:pPr>
      <w:r>
        <w:rPr>
          <w:rStyle w:val="font_h2"/>
        </w:rPr>
        <w:t xml:space="preserve">5.3. Mode d'exploitation du procédé</w:t>
      </w:r>
    </w:p>
    <w:p>
      <w:pPr>
        <w:ind w:left="720" w:right="0"/>
      </w:pPr>
      <w:r>
        <w:rPr>
          <w:rStyle w:val="font_h2"/>
        </w:rPr>
        <w:t xml:space="preserve">5.4. Points à surveiller pour une pose correcte</w:t>
      </w:r>
    </w:p>
    <w:p>
      <w:pPr/>
      <w:r>
        <w:rPr>
          <w:rStyle w:val="font_h1"/>
        </w:rPr>
        <w:t xml:space="preserve">6. Références</w:t>
      </w:r>
    </w:p>
    <w:p>
      <w:pPr/>
      <w:r>
        <w:rPr>
          <w:rStyle w:val="font_h1"/>
        </w:rPr>
        <w:t xml:space="preserve">7. Tableaux et figures du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2026-01-16T14:51:01+01:00</dcterms:created>
  <dcterms:modified xsi:type="dcterms:W3CDTF">2026-01-16T14:51:01+01:00</dcterms:modified>
</cp:coreProperties>
</file>

<file path=docProps/custom.xml><?xml version="1.0" encoding="utf-8"?>
<Properties xmlns="http://schemas.openxmlformats.org/officeDocument/2006/custom-properties" xmlns:vt="http://schemas.openxmlformats.org/officeDocument/2006/docPropsVTypes"/>
</file>