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Chaudière étanche à granulés de bois</w:t>
      </w:r>
    </w:p>
    <w:p>
      <w:pPr/>
      <w:r>
        <w:rPr>
          <w:rStyle w:val="font_h1"/>
        </w:rPr>
        <w:t xml:space="preserve">1. Principe</w:t>
      </w:r>
    </w:p>
    <w:p>
      <w:pPr/>
      <w:r>
        <w:rPr/>
        <w:t xml:space="preserve">Validé par le Groupe Spécialisé le 26/03/2024</w:t>
      </w:r>
    </w:p>
    <w:p>
      <w:pPr/>
      <w:r>
        <w:rPr>
          <w:b/>
          <w:bCs/>
        </w:rPr>
        <w:t xml:space="preserve">Description</w:t>
      </w:r>
    </w:p>
    <w:p>
      <w:pPr/>
      <w:r>
        <w:rPr/>
        <w:t xml:space="preserve">Décrire succinctement les différentes versions des chaudières étanches à granulés de bois.Préciser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03/04/2025</w:t>
      </w:r>
    </w:p>
    <w:p>
      <w:pPr/>
      <w:r>
        <w:rPr>
          <w:b/>
          <w:bCs/>
        </w:rPr>
        <w:t xml:space="preserve">Description</w:t>
      </w:r>
    </w:p>
    <w:p>
      <w:pPr/>
      <w:r>
        <w:rPr/>
        <w:t xml:space="preserve">Préciser les types de bâtiments dans lesquels les chaudières peuvent être installées, par référence aux dispositions prévues dans le Cahier des Prescriptions Techniques communes n° 3708_V3..</w:t>
      </w:r>
    </w:p>
    <w:p>
      <w:pPr/>
      <w:r>
        <w:rPr/>
        <w:t xml:space="preserve">En fonction du domaine d'emploi, préciser les caractéristiques du local dans lequel les chaudières peuvent être installées. Les dispositions minimales des locaux sont celles prévues dans le Cahier des Prescriptions Techniques communes n° 3708_V3.</w:t>
      </w:r>
    </w:p>
    <w:p>
      <w:pPr/>
      <w:r>
        <w:rPr>
          <w:rStyle w:val="font_h1"/>
        </w:rPr>
        <w:t xml:space="preserve">3. Chaudières étanches à granulés</w:t>
      </w:r>
    </w:p>
    <w:p>
      <w:pPr>
        <w:ind w:left="720" w:right="0"/>
      </w:pPr>
      <w:r>
        <w:rPr>
          <w:rStyle w:val="font_h2"/>
        </w:rPr>
        <w:t xml:space="preserve">3.1. Généralités</w:t>
      </w:r>
    </w:p>
    <w:p>
      <w:pPr>
        <w:ind w:left="720" w:right="0"/>
      </w:pPr>
      <w:r>
        <w:rPr>
          <w:rStyle w:val="font_h2"/>
        </w:rPr>
        <w:t xml:space="preserve">3.2. Etanchéité des chaudières</w:t>
      </w:r>
    </w:p>
    <w:p>
      <w:pPr/>
      <w:r>
        <w:rPr/>
        <w:t xml:space="preserve">Validé par le Groupe Spécialisé le 07/10/2021</w:t>
      </w:r>
    </w:p>
    <w:p>
      <w:pPr/>
      <w:r>
        <w:rPr>
          <w:b/>
          <w:bCs/>
        </w:rPr>
        <w:t xml:space="preserve">Description</w:t>
      </w:r>
    </w:p>
    <w:p>
      <w:pPr/>
      <w:r>
        <w:rPr/>
        <w:t xml:space="preserve">Préciser le débit de fuite des chaudières sous 50 Pa.</w:t>
      </w:r>
    </w:p>
    <w:p>
      <w:pPr/>
      <w:r>
        <w:rPr>
          <w:b/>
          <w:bCs/>
        </w:rPr>
        <w:t xml:space="preserve">Justification</w:t>
      </w:r>
    </w:p>
    <w:p>
      <w:pPr/>
      <w:r>
        <w:rPr/>
        <w:t xml:space="preserve">Rapport d'essai d'étanchéité réalisé par un laboratoire indépendant réalisant les essais de qualification des chaudières selon l'EN 303-5 ou un laboratoire accrédité COFRAC pour des essais d’étanchéités à l'air (sur les chaudières ou les conduits d'évacuation des produits de combustion).</w:t>
      </w:r>
    </w:p>
    <w:p>
      <w:pPr/>
      <w:r>
        <w:rPr>
          <w:b/>
          <w:bCs/>
        </w:rPr>
        <w:t xml:space="preserve">Critères d'évaluation</w:t>
      </w:r>
    </w:p>
    <w:p>
      <w:pPr/>
      <w:r>
        <w:rPr/>
        <w:t xml:space="preserve">Les chaudières doivent respecter l'exigence d'étanchéité de la catégories 3 de la NF EN 303-5 :2021 : 3 m3/h sous 50 Pa.</w:t>
      </w:r>
    </w:p>
    <w:p>
      <w:pPr>
        <w:ind w:left="720" w:right="0"/>
      </w:pPr>
      <w:r>
        <w:rPr>
          <w:rStyle w:val="font_h2"/>
        </w:rPr>
        <w:t xml:space="preserve">3.3. Combustible</w:t>
      </w:r>
    </w:p>
    <w:p>
      <w:pPr/>
      <w:r>
        <w:rPr>
          <w:rStyle w:val="font_h1"/>
        </w:rPr>
        <w:t xml:space="preserve">4. Fabrication, contrôles, marquage et DoP</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9"/>
        </w:numPr>
      </w:pPr>
      <w:r>
        <w:rPr/>
        <w:t xml:space="preserve">Les conduits d'évacuation des produits de combustion associés sont des conduits conçus pour les chaudières à granulés de bois à circuit de combustion étanche ; et qu'ils doivent être conformes à leur Document Technique d’Application spécifique.</w:t>
      </w:r>
    </w:p>
    <w:p>
      <w:pPr>
        <w:pPr/>
        <w:numPr>
          <w:ilvl w:val="0"/>
          <w:numId w:val="9"/>
        </w:numPr>
      </w:pPr>
      <w:r>
        <w:rPr/>
        <w:t xml:space="preserve">Le dimensionnement de l’installation de la chaudière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de la chaudière nécessaires au dimensionnement :</w:t>
      </w:r>
    </w:p>
    <w:p>
      <w:pPr>
        <w:pPr/>
        <w:numPr>
          <w:ilvl w:val="0"/>
          <w:numId w:val="10"/>
        </w:numPr>
      </w:pPr>
      <w:r>
        <w:rPr/>
        <w:t xml:space="preserve">Puissance</w:t>
      </w:r>
    </w:p>
    <w:p>
      <w:pPr>
        <w:pPr/>
        <w:numPr>
          <w:ilvl w:val="0"/>
          <w:numId w:val="10"/>
        </w:numPr>
      </w:pPr>
      <w:r>
        <w:rPr/>
        <w:t xml:space="preserve">Rendement</w:t>
      </w:r>
    </w:p>
    <w:p>
      <w:pPr>
        <w:pPr/>
        <w:numPr>
          <w:ilvl w:val="0"/>
          <w:numId w:val="10"/>
        </w:numPr>
      </w:pPr>
      <w:r>
        <w:rPr/>
        <w:t xml:space="preserve">Taux de CO2</w:t>
      </w:r>
    </w:p>
    <w:p>
      <w:pPr>
        <w:pPr/>
        <w:numPr>
          <w:ilvl w:val="0"/>
          <w:numId w:val="10"/>
        </w:numPr>
      </w:pPr>
      <w:r>
        <w:rPr/>
        <w:t xml:space="preserve">Température moyenne des fumées (préciser si la température indiquée est mesurée à la buse (Tw) ou au niveau du tronçon de mesure (Ta))</w:t>
      </w:r>
    </w:p>
    <w:p>
      <w:pPr>
        <w:pPr/>
        <w:numPr>
          <w:ilvl w:val="0"/>
          <w:numId w:val="10"/>
        </w:numPr>
      </w:pPr>
      <w:r>
        <w:rPr/>
        <w:t xml:space="preserve">Débit massique des fumées</w:t>
      </w:r>
    </w:p>
    <w:p>
      <w:pPr>
        <w:pPr/>
        <w:numPr>
          <w:ilvl w:val="0"/>
          <w:numId w:val="10"/>
        </w:numPr>
      </w:pPr>
      <w:r>
        <w:rPr/>
        <w:t xml:space="preserve">Tirage minimal requis à la buse Pw</w:t>
      </w:r>
    </w:p>
    <w:p>
      <w:pPr>
        <w:pPr/>
        <w:numPr>
          <w:ilvl w:val="0"/>
          <w:numId w:val="10"/>
        </w:numPr>
      </w:pPr>
      <w:r>
        <w:rPr/>
        <w:t xml:space="preserve">Perte de charge maximale de l’alimentation en air (PB) à respecter lors du dimensionnement</w:t>
      </w:r>
    </w:p>
    <w:p>
      <w:pPr/>
      <w:r>
        <w:rPr/>
        <w:t xml:space="preserve">Préciser que ces valeurs sont mesurées, selon la norme EN 303-5, avec un régime d’eau adapté au mode de fonctionnement des chaudières. Un renvoi à la notice de la chaudière pour les températures des fumées à utiliser dans le dimensionnement est ajouté si des informations complémentaires sont données par le fabricant dans la notice par rapport à celles issues de l'essai selon la norme EN 303-5.</w:t>
      </w:r>
    </w:p>
    <w:p>
      <w:pPr/>
      <w:r>
        <w:rPr/>
        <w:t xml:space="preserve">Indiquer que si la notice d'installation prévoit des longueurs minimales et maximales du système d’amenée d’air comburant et d’évacuation des produits de combustion, elles sont données en complément du calcul, en situation concentrique, selon l’EN 13384-1+A1.</w:t>
      </w:r>
    </w:p>
    <w:p>
      <w:pPr/>
      <w:r>
        <w:rPr/>
        <w:t xml:space="preserve">Concernant le raccordement hydraulique des chaudières : Préciser que les dispositions de sécurité de l’installation hydraulique doivent répondre au NF DTU 65.11.</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20/11/2025</w:t>
      </w:r>
    </w:p>
    <w:p>
      <w:pPr/>
      <w:r>
        <w:rPr>
          <w:b/>
          <w:bCs/>
        </w:rPr>
        <w:t xml:space="preserve">Description</w:t>
      </w:r>
    </w:p>
    <w:p>
      <w:pPr/>
      <w:r>
        <w:rPr/>
        <w:t xml:space="preserve">Préciser les conditions générales de conception.En particulier,</w:t>
      </w:r>
    </w:p>
    <w:p>
      <w:pPr>
        <w:pPr/>
        <w:numPr>
          <w:ilvl w:val="0"/>
          <w:numId w:val="11"/>
        </w:numPr>
      </w:pPr>
      <w:r>
        <w:rPr/>
        <w:t xml:space="preserve">concernant le conduit d'évacuation des produits de combustion :</w:t>
      </w:r>
    </w:p>
    <w:p>
      <w:pPr/>
      <w:r>
        <w:rPr/>
        <w:t xml:space="preserve">Préciser la classe de température minimale du conduit d’évacuation des produits de combustion compte tenu des températures des fumées des chaudières.</w:t>
      </w:r>
    </w:p>
    <w:p>
      <w:pPr/>
      <w:r>
        <w:rPr/>
        <w:t xml:space="preserve">Préciser que pour les modèles avec condensation, lorsqu’un coude est mis en place en bas de conduit (à la place du Té) une restitution de l’accès en pied de conduit est à prévoir pour permettre l’entretien et le ramonage. Le conduit doit être muni d'un terminal concentrique (assurant la protection anti-volatile) ou d'un composant terminal muni d'une protection anti-volatile.</w:t>
      </w:r>
    </w:p>
    <w:p>
      <w:pPr>
        <w:pPr/>
        <w:numPr>
          <w:ilvl w:val="0"/>
          <w:numId w:val="12"/>
        </w:numPr>
      </w:pPr>
      <w:r>
        <w:rPr/>
        <w:t xml:space="preserve">concernant le conduit d'amenée d'air comburant :</w:t>
      </w:r>
    </w:p>
    <w:p>
      <w:pPr/>
      <w:r>
        <w:rPr/>
        <w:t xml:space="preserve">Préciser que dans le cas d'une prise d'air extérieure en configuration séparée, l'extrémité du terminal d'amenée d'air comburant doit être équipée d'un dispositif prévu pour empêcher la pénétration des oiseaux ou rongeurs tout en conservant la section libre de passage d'air et dans ce cas la perte de charge induite par ce dispositif doit être prise en compte dans le dimensionnement de l'installation.</w:t>
      </w:r>
    </w:p>
    <w:p>
      <w:pPr>
        <w:pPr/>
        <w:numPr>
          <w:ilvl w:val="0"/>
          <w:numId w:val="13"/>
        </w:numPr>
      </w:pPr>
      <w:r>
        <w:rPr/>
        <w:t xml:space="preserve">concernant le positionnement des terminaux : indiquer que les règles de positionnement des terminaux du DTA du système d'amenée d'air comburant et d'évacuation des produits de combustion sont à respecter.</w:t>
      </w:r>
    </w:p>
    <w:p>
      <w:pPr/>
      <w:r>
        <w:rPr/>
        <w:t xml:space="preserve">Préciser que les règles de positionnement des terminaux (distance aux ouvrants et entrées d’air et distance au voisinage) prévues pour les bâtiments d’habitation individuelle sont également applicables pour les autres types de bâtiments : bâtiments d’habitation collectif, bâtiments relevant du Code du travail et Etablissements Recevant du Public.</w:t>
      </w:r>
    </w:p>
    <w:p>
      <w:pPr/>
      <w:r>
        <w:rPr/>
        <w:t xml:space="preserve">Néanmoins, en application des arrêtés du 25 juin 1980 modifié et du 22 juin 1990 modifié, seuls les terminaux verticaux sont admis dans les Etablissements Recevant du Public des 5 catégories.</w:t>
      </w:r>
    </w:p>
    <w:p>
      <w:pPr/>
      <w:r>
        <w:rPr>
          <w:rStyle w:val="font_h1"/>
        </w:rPr>
        <w:t xml:space="preserve">6. Mise en oeuvre</w:t>
      </w:r>
    </w:p>
    <w:p>
      <w:pPr>
        <w:ind w:left="720" w:right="0"/>
      </w:pPr>
      <w:r>
        <w:rPr>
          <w:rStyle w:val="font_h2"/>
        </w:rPr>
        <w:t xml:space="preserve">6.1. Généralités</w:t>
      </w:r>
    </w:p>
    <w:p>
      <w:pPr>
        <w:ind w:left="720" w:right="0"/>
      </w:pPr>
      <w:r>
        <w:rPr>
          <w:rStyle w:val="font_h2"/>
        </w:rPr>
        <w:t xml:space="preserve">6.2. Raccordement du système d'amenée d'air et d'évacuation des produits de combustion</w:t>
      </w:r>
    </w:p>
    <w:p>
      <w:pPr/>
      <w:r>
        <w:rPr/>
        <w:t xml:space="preserve">Validé par le Groupe Spécialisé le 10/10/2019</w:t>
      </w:r>
    </w:p>
    <w:p>
      <w:pPr/>
      <w:r>
        <w:rPr>
          <w:b/>
          <w:bCs/>
        </w:rPr>
        <w:t xml:space="preserve">Description</w:t>
      </w:r>
    </w:p>
    <w:p>
      <w:pPr/>
      <w:r>
        <w:rPr/>
        <w:t xml:space="preserve">Décrire le principe de raccordement au conduit d'évacuation des produits de combustion.</w:t>
      </w:r>
    </w:p>
    <w:p>
      <w:pPr/>
      <w:r>
        <w:rPr/>
        <w:t xml:space="preserve">Pour les chaudières à condensation, préciser si un coude peut être mis en place en pied du conduit d'évacuation des produits de combustion. Dans ce cas préciser que :</w:t>
      </w:r>
    </w:p>
    <w:p>
      <w:pPr>
        <w:pPr/>
        <w:numPr>
          <w:ilvl w:val="0"/>
          <w:numId w:val="14"/>
        </w:numPr>
      </w:pPr>
      <w:r>
        <w:rPr/>
        <w:t xml:space="preserve">une restitution de l’accès en pied de conduit est à prévoir pour permettre l’entretien et le ramonage.</w:t>
      </w:r>
    </w:p>
    <w:p>
      <w:pPr>
        <w:pPr/>
        <w:numPr>
          <w:ilvl w:val="0"/>
          <w:numId w:val="14"/>
        </w:numPr>
      </w:pPr>
      <w:r>
        <w:rPr/>
        <w:t xml:space="preserve">le conduit doit être muni d'un terminal concentrique (assurant la protection anti-volatile) ou d'un composant terminal muni d'une protection anti-volatile.</w:t>
      </w:r>
    </w:p>
    <w:p>
      <w:pPr/>
      <w:r>
        <w:rPr>
          <w:b/>
          <w:bCs/>
        </w:rPr>
        <w:t xml:space="preserve">Critères d'évaluation</w:t>
      </w:r>
    </w:p>
    <w:p>
      <w:pPr/>
      <w:r>
        <w:rPr/>
        <w:t xml:space="preserve">Le principe de raccordement au conduit d'évacuation des produits de combustion doit permettre l’entretien et le ramonage du conduit d'évacuation des produits de combustion.</w:t>
      </w:r>
    </w:p>
    <w:p>
      <w:pPr/>
      <w:r>
        <w:rPr>
          <w:rStyle w:val="font_h1"/>
        </w:rPr>
        <w:t xml:space="preserve">7. Mise en service et entretien</w:t>
      </w:r>
    </w:p>
    <w:p>
      <w:pPr/>
      <w:r>
        <w:rPr>
          <w:rStyle w:val="font_h1"/>
        </w:rPr>
        <w:t xml:space="preserve">8. Distribution et formation</w:t>
      </w:r>
    </w:p>
    <w:p>
      <w:pPr/>
      <w:r>
        <w:rPr>
          <w:rStyle w:val="font_h1"/>
        </w:rPr>
        <w:t xml:space="preserve">9. Tableaux et figures du Dossier Technique</w:t>
      </w:r>
    </w:p>
    <w:p>
      <w:pPr/>
      <w:r>
        <w:rPr/>
        <w:t xml:space="preserve">Validé par le Groupe Spécialisé le 05/11/2019</w:t>
      </w:r>
    </w:p>
    <w:p>
      <w:pPr/>
      <w:r>
        <w:rPr>
          <w:b/>
          <w:bCs/>
        </w:rPr>
        <w:t xml:space="preserve">Description</w:t>
      </w:r>
    </w:p>
    <w:p>
      <w:pPr/>
      <w:r>
        <w:rPr/>
        <w:t xml:space="preserve">Dans le tableau – Caractéristiques des chaudières étanches :</w:t>
      </w:r>
    </w:p>
    <w:p>
      <w:pPr/>
      <w:r>
        <w:rPr/>
        <w:t xml:space="preserve">Préciser que les valeurs de puissance, rendement, température des fumées et émissions présentées dans les tableaux sont mesurées, selon la norme EN 303-5, avec un régime d’eau adapté au mode de fonctionnement des chaudières.</w:t>
      </w:r>
    </w:p>
    <w:p>
      <w:pPr/>
      <w:r>
        <w:rPr/>
        <w:t xml:space="preserve">Supprimer les températures de fumée maximales indiquées pour le choix de la classe de température du conduit d’évacuation des produits de combustion.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C5D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91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5F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EB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61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0A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2026-02-14T00:07:19+01:00</dcterms:created>
  <dcterms:modified xsi:type="dcterms:W3CDTF">2026-02-14T00:07:19+01:00</dcterms:modified>
</cp:coreProperties>
</file>

<file path=docProps/custom.xml><?xml version="1.0" encoding="utf-8"?>
<Properties xmlns="http://schemas.openxmlformats.org/officeDocument/2006/custom-properties" xmlns:vt="http://schemas.openxmlformats.org/officeDocument/2006/docPropsVTypes"/>
</file>