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11/05/2025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Protection lourde par dalles sur plots des toitures-terrasses accessibles aux véhicules légers</w:t>
      </w:r>
    </w:p>
    <w:p>
      <w:pPr/>
      <w:r>
        <w:rPr>
          <w:rStyle w:val="font_h1"/>
        </w:rPr>
        <w:t xml:space="preserve">1. Principe</w:t>
      </w:r>
    </w:p>
    <w:p>
      <w:pPr/>
      <w:r>
        <w:rPr>
          <w:rStyle w:val="font_h1"/>
        </w:rPr>
        <w:t xml:space="preserve">2. Domaine d'emploi</w:t>
      </w:r>
    </w:p>
    <w:p>
      <w:pPr/>
      <w:r>
        <w:rPr>
          <w:rStyle w:val="font_h1"/>
        </w:rPr>
        <w:t xml:space="preserve">3. Matériaux</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12/03/2018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2025-05-11T05:01:29+02:00</dcterms:created>
  <dcterms:modified xsi:type="dcterms:W3CDTF">2025-05-11T05:01:29+02:00</dcterms:modified>
</cp:coreProperties>
</file>

<file path=docProps/custom.xml><?xml version="1.0" encoding="utf-8"?>
<Properties xmlns="http://schemas.openxmlformats.org/officeDocument/2006/custom-properties" xmlns:vt="http://schemas.openxmlformats.org/officeDocument/2006/docPropsVTypes"/>
</file>