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indépendant sous protection lourde en monocouche à base de membrane FPO</w:t>
      </w:r>
    </w:p>
    <w:p>
      <w:pPr/>
      <w:r>
        <w:rPr>
          <w:rStyle w:val="font_h1"/>
        </w:rPr>
        <w:t xml:space="preserve">1. Principe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figrues</w:t>
      </w:r>
    </w:p>
    <w:p>
      <w:pPr/>
      <w:r>
        <w:rPr/>
        <w:t xml:space="preserve">Validé par le Groupe Spécialisé le 14/04/2022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2026-08-31T07:14:27+02:00</dcterms:created>
  <dcterms:modified xsi:type="dcterms:W3CDTF">2026-08-31T07:14:27+02:00</dcterms:modified>
</cp:coreProperties>
</file>

<file path=docProps/custom.xml><?xml version="1.0" encoding="utf-8"?>
<Properties xmlns="http://schemas.openxmlformats.org/officeDocument/2006/custom-properties" xmlns:vt="http://schemas.openxmlformats.org/officeDocument/2006/docPropsVTypes"/>
</file>