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14/03/2026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sous protection lourde en monocouche à base de bitume modifié</w:t>
      </w:r>
    </w:p>
    <w:p>
      <w:pPr/>
      <w:r>
        <w:rPr>
          <w:rStyle w:val="font_h1"/>
        </w:rPr>
        <w:t xml:space="preserve">1. Principe</w:t>
      </w:r>
    </w:p>
    <w:p>
      <w:pPr/>
      <w:r>
        <w:rPr/>
        <w:t xml:space="preserve">Validé par le Groupe Spécialisé le 27/02/2017</w:t>
      </w:r>
    </w:p>
    <w:p>
      <w:pPr/>
      <w:r>
        <w:rPr>
          <w:b/>
          <w:bCs/>
        </w:rPr>
        <w:t xml:space="preserve">Description</w:t>
      </w:r>
    </w:p>
    <w:p>
      <w:pPr/>
      <w:r>
        <w:rPr/>
        <w:t xml:space="preserve">Les procédés de revêtement bitumineux monocouche associés à une sous couche sont assimilés à des procédés d'étanchéité bicouche. Il faut donc se rapprocher de la famille intitulée : "Revêtement d'étanchéité de toitures sous protection lourde en bicouche à base de bitume modifié".</w:t>
      </w:r>
    </w:p>
    <w:p>
      <w:pPr/>
      <w:r>
        <w:rPr/>
        <w:t xml:space="preserve">La description doit alors porter sur la définition d'un seul revêtement et non pas de la sous-couche.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ind w:left="720" w:right="0"/>
      </w:pPr>
      <w:r>
        <w:rPr>
          <w:rStyle w:val="font_h2"/>
        </w:rPr>
        <w:t xml:space="preserve">3.1. Taux de fines</w:t>
      </w:r>
    </w:p>
    <w:p>
      <w:pPr/>
      <w:r>
        <w:rPr/>
        <w:t xml:space="preserve">Validé par le Groupe Spécialisé le 05/07/2019</w:t>
      </w:r>
    </w:p>
    <w:p>
      <w:pPr/>
      <w:r>
        <w:rPr>
          <w:b/>
          <w:bCs/>
        </w:rPr>
        <w:t xml:space="preserve">Description</w:t>
      </w:r>
    </w:p>
    <w:p>
      <w:pPr/>
      <w:r>
        <w:rPr/>
        <w:t xml:space="preserve">Compte-tenu des connaissances du Groupe sur les liants bitumineux des revêtements d’étanchéité et du respect de la Directive Ueatc spécifique au SBS, les Experts concluent que les titulaires pourront déclarer dans l’Avis Technique de leur procédé un taux maximal de fines au plus égal à 37 %.</w:t>
      </w:r>
    </w:p>
    <w:p>
      <w:pPr/>
      <w:r>
        <w:rPr/>
        <w:t xml:space="preserve">Corollaire de cette décision :Dans le cas de nouvelles instructions de dossiers, il va de soi que si le titulaire revendique un taux de fines supérieur à 37 % dans son Avis Technique, il devra fournir des éléments de preuve justifiant les performances du liant liées à cette donnée conformément à la directive Ueatc.</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2026-03-14T01:31:11+01:00</dcterms:created>
  <dcterms:modified xsi:type="dcterms:W3CDTF">2026-03-14T01:31:11+01:00</dcterms:modified>
</cp:coreProperties>
</file>

<file path=docProps/custom.xml><?xml version="1.0" encoding="utf-8"?>
<Properties xmlns="http://schemas.openxmlformats.org/officeDocument/2006/custom-properties" xmlns:vt="http://schemas.openxmlformats.org/officeDocument/2006/docPropsVTypes"/>
</file>